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26A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AKBANK T.A.Ş.</w:t>
            </w:r>
          </w:p>
        </w:tc>
      </w:tr>
    </w:tbl>
    <w:p w:rsidR="00000000" w:rsidRDefault="008126A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27.12.1947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MEVDUAT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4. LEVENT 34330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ÖZEN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HAMİT BELİĞ BELLİ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M.HİKMET BAYAR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Ş.YAMAN TÖRÜNER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0212-270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0212-269 73 83 – 269 77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01.01.2004 - 31.12.2005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BANKSİS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</w:t>
            </w:r>
            <w:r>
              <w:rPr>
                <w:rFonts w:ascii="Arial" w:hAnsi="Arial"/>
                <w:b/>
                <w:sz w:val="16"/>
              </w:rPr>
              <w:t>s' Union)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2,500,000,000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1,500,000,000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8126A1">
      <w:pPr>
        <w:rPr>
          <w:rFonts w:ascii="Arial" w:hAnsi="Arial"/>
          <w:sz w:val="16"/>
        </w:rPr>
      </w:pPr>
    </w:p>
    <w:p w:rsidR="00000000" w:rsidRDefault="008126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26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</w:t>
            </w:r>
            <w:r>
              <w:rPr>
                <w:rFonts w:ascii="Arial" w:hAnsi="Arial"/>
                <w:sz w:val="16"/>
              </w:rPr>
              <w:t>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8126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26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126A1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126A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126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126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8126A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19,918,425</w:t>
            </w:r>
            <w:r>
              <w:rPr>
                <w:rFonts w:ascii="Arial" w:hAnsi="Arial"/>
                <w:sz w:val="16"/>
              </w:rPr>
              <w:t>,000</w:t>
            </w:r>
          </w:p>
        </w:tc>
        <w:tc>
          <w:tcPr>
            <w:tcW w:w="2977" w:type="dxa"/>
          </w:tcPr>
          <w:p w:rsidR="00000000" w:rsidRDefault="008126A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12,939,200,000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126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8126A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21,747,130,000</w:t>
            </w:r>
          </w:p>
        </w:tc>
        <w:tc>
          <w:tcPr>
            <w:tcW w:w="2977" w:type="dxa"/>
          </w:tcPr>
          <w:p w:rsidR="00000000" w:rsidRDefault="008126A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9,923,972,000</w:t>
            </w:r>
          </w:p>
        </w:tc>
      </w:tr>
    </w:tbl>
    <w:p w:rsidR="00000000" w:rsidRDefault="008126A1">
      <w:pPr>
        <w:rPr>
          <w:rFonts w:ascii="Arial" w:hAnsi="Arial"/>
          <w:sz w:val="16"/>
        </w:rPr>
      </w:pPr>
    </w:p>
    <w:p w:rsidR="00000000" w:rsidRDefault="008126A1">
      <w:pPr>
        <w:rPr>
          <w:rFonts w:ascii="Arial" w:hAnsi="Arial"/>
          <w:sz w:val="16"/>
        </w:rPr>
      </w:pPr>
    </w:p>
    <w:p w:rsidR="00000000" w:rsidRDefault="008126A1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126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126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8126A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6A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126A1">
            <w:pPr>
              <w:ind w:right="312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126A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DEĞİŞİM PROJESİ</w:t>
            </w:r>
          </w:p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(NEW HORIZONS PROJECT)</w:t>
            </w:r>
          </w:p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It’s final date is end of 2006. Only 359 branch’</w:t>
            </w:r>
            <w:r>
              <w:rPr>
                <w:rFonts w:ascii="Arial" w:hAnsi="Arial"/>
                <w:sz w:val="16"/>
              </w:rPr>
              <w:t>s building budget was approved 145 branch’s building was not started (project is being prepared). We have no budget for the other part of the project.</w:t>
            </w:r>
          </w:p>
        </w:tc>
        <w:tc>
          <w:tcPr>
            <w:tcW w:w="2043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17.04.2003-31.12.2005</w:t>
            </w:r>
          </w:p>
        </w:tc>
        <w:tc>
          <w:tcPr>
            <w:tcW w:w="2214" w:type="dxa"/>
          </w:tcPr>
          <w:p w:rsidR="00000000" w:rsidRDefault="008126A1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141,488,046</w:t>
            </w: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50,313,279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126A1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BÖLGE MÜDÜRLÜKLERİ TADİLATI</w:t>
            </w:r>
          </w:p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(RESTORATION OF REGION’S H</w:t>
            </w:r>
            <w:r>
              <w:rPr>
                <w:rFonts w:ascii="Arial" w:hAnsi="Arial"/>
                <w:sz w:val="16"/>
              </w:rPr>
              <w:t>EAD OFFICE )</w:t>
            </w:r>
          </w:p>
        </w:tc>
        <w:tc>
          <w:tcPr>
            <w:tcW w:w="2043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01.08.2004-01.08.2005</w:t>
            </w:r>
          </w:p>
        </w:tc>
        <w:tc>
          <w:tcPr>
            <w:tcW w:w="2214" w:type="dxa"/>
          </w:tcPr>
          <w:p w:rsidR="00000000" w:rsidRDefault="008126A1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12,024,804</w:t>
            </w: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5,556,004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126A1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ALINMASI, DEPO/ARŞİV İNŞAATI VE TADİLATI (BUYING LAND, RESTORATION AND BUILDING STORE ROOM )</w:t>
            </w:r>
          </w:p>
        </w:tc>
        <w:tc>
          <w:tcPr>
            <w:tcW w:w="2043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01.11.2003-31.12.2005</w:t>
            </w:r>
          </w:p>
        </w:tc>
        <w:tc>
          <w:tcPr>
            <w:tcW w:w="2214" w:type="dxa"/>
          </w:tcPr>
          <w:p w:rsidR="00000000" w:rsidRDefault="008126A1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25,256,480</w:t>
            </w: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126A1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ÇANKAYA ŞUBESİ İNŞAATI</w:t>
            </w:r>
          </w:p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(ÇANKAYA BRANCH’S BUILD</w:t>
            </w:r>
            <w:r>
              <w:rPr>
                <w:rFonts w:ascii="Arial" w:hAnsi="Arial"/>
                <w:sz w:val="16"/>
              </w:rPr>
              <w:t>ING )</w:t>
            </w:r>
          </w:p>
        </w:tc>
        <w:tc>
          <w:tcPr>
            <w:tcW w:w="2043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12.04.2004-30.04.2005</w:t>
            </w:r>
          </w:p>
        </w:tc>
        <w:tc>
          <w:tcPr>
            <w:tcW w:w="2214" w:type="dxa"/>
          </w:tcPr>
          <w:p w:rsidR="00000000" w:rsidRDefault="008126A1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2,250,500</w:t>
            </w: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1,656,756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126A1">
            <w:pPr>
              <w:tabs>
                <w:tab w:val="left" w:pos="1812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126A1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 BİLGİSAYAR ALTYAPI YATIRIMLARI (MAINFRAME INFRASTRUCTURE INV.)</w:t>
            </w:r>
          </w:p>
        </w:tc>
        <w:tc>
          <w:tcPr>
            <w:tcW w:w="2043" w:type="dxa"/>
          </w:tcPr>
          <w:p w:rsidR="00000000" w:rsidRDefault="008126A1">
            <w:pPr>
              <w:tabs>
                <w:tab w:val="left" w:pos="181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25.06.2004–09.08.2005</w:t>
            </w:r>
          </w:p>
        </w:tc>
        <w:tc>
          <w:tcPr>
            <w:tcW w:w="2214" w:type="dxa"/>
          </w:tcPr>
          <w:p w:rsidR="00000000" w:rsidRDefault="008126A1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7,320,000</w:t>
            </w: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1,486,245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126A1">
            <w:pPr>
              <w:tabs>
                <w:tab w:val="left" w:pos="1812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126A1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OLAĞANÜSTÜ DURUM PROJESİ VE GÜVENLİK YATIRIMI (DİSASTER RECOVERY PROJECT AND SECURİTY I</w:t>
            </w:r>
            <w:r>
              <w:rPr>
                <w:rFonts w:ascii="Arial" w:hAnsi="Arial"/>
                <w:sz w:val="16"/>
              </w:rPr>
              <w:t>NV.)</w:t>
            </w:r>
          </w:p>
        </w:tc>
        <w:tc>
          <w:tcPr>
            <w:tcW w:w="2043" w:type="dxa"/>
          </w:tcPr>
          <w:p w:rsidR="00000000" w:rsidRDefault="008126A1">
            <w:pPr>
              <w:tabs>
                <w:tab w:val="left" w:pos="181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16.08.2004-15.12.2005</w:t>
            </w:r>
          </w:p>
        </w:tc>
        <w:tc>
          <w:tcPr>
            <w:tcW w:w="2214" w:type="dxa"/>
          </w:tcPr>
          <w:p w:rsidR="00000000" w:rsidRDefault="008126A1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</w:t>
            </w:r>
          </w:p>
        </w:tc>
        <w:tc>
          <w:tcPr>
            <w:tcW w:w="1843" w:type="dxa"/>
          </w:tcPr>
          <w:p w:rsidR="00000000" w:rsidRDefault="008126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126A1">
      <w:pPr>
        <w:rPr>
          <w:rFonts w:ascii="Arial" w:hAnsi="Arial"/>
          <w:sz w:val="16"/>
        </w:rPr>
      </w:pPr>
    </w:p>
    <w:p w:rsidR="00000000" w:rsidRDefault="008126A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26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126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26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8126A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6A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INTERNATIONAL N.V.</w:t>
            </w:r>
          </w:p>
        </w:tc>
        <w:tc>
          <w:tcPr>
            <w:tcW w:w="2304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93,447,750.-YTL</w:t>
            </w:r>
          </w:p>
        </w:tc>
        <w:tc>
          <w:tcPr>
            <w:tcW w:w="2342" w:type="dxa"/>
          </w:tcPr>
          <w:p w:rsidR="00000000" w:rsidRDefault="008126A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MENKUL DEĞERLER A.Ş.</w:t>
            </w:r>
          </w:p>
        </w:tc>
        <w:tc>
          <w:tcPr>
            <w:tcW w:w="2304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49,900,000.-YTL</w:t>
            </w:r>
          </w:p>
        </w:tc>
        <w:tc>
          <w:tcPr>
            <w:tcW w:w="2342" w:type="dxa"/>
          </w:tcPr>
          <w:p w:rsidR="00000000" w:rsidRDefault="008126A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BANK PLC.</w:t>
            </w:r>
          </w:p>
        </w:tc>
        <w:tc>
          <w:tcPr>
            <w:tcW w:w="2304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99,447,864.-YTL</w:t>
            </w:r>
          </w:p>
        </w:tc>
        <w:tc>
          <w:tcPr>
            <w:tcW w:w="2342" w:type="dxa"/>
          </w:tcPr>
          <w:p w:rsidR="00000000" w:rsidRDefault="008126A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EMEKLİLİK A.Ş.</w:t>
            </w:r>
          </w:p>
        </w:tc>
        <w:tc>
          <w:tcPr>
            <w:tcW w:w="2304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18,471,991.-YTL</w:t>
            </w:r>
          </w:p>
        </w:tc>
        <w:tc>
          <w:tcPr>
            <w:tcW w:w="2342" w:type="dxa"/>
          </w:tcPr>
          <w:p w:rsidR="00000000" w:rsidRDefault="008126A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  <w:r>
              <w:rPr>
                <w:rFonts w:ascii="Arial" w:hAnsi="Arial"/>
                <w:sz w:val="16"/>
              </w:rPr>
              <w:t>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BNP-AK DRESDNER BANK A.Ş.</w:t>
            </w:r>
          </w:p>
        </w:tc>
        <w:tc>
          <w:tcPr>
            <w:tcW w:w="2304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14,395,961.-YTL</w:t>
            </w:r>
          </w:p>
        </w:tc>
        <w:tc>
          <w:tcPr>
            <w:tcW w:w="2342" w:type="dxa"/>
          </w:tcPr>
          <w:p w:rsidR="00000000" w:rsidRDefault="008126A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ORTAKLIĞI A.Ş.</w:t>
            </w:r>
          </w:p>
        </w:tc>
        <w:tc>
          <w:tcPr>
            <w:tcW w:w="2304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8,252,869.-YTL</w:t>
            </w:r>
          </w:p>
        </w:tc>
        <w:tc>
          <w:tcPr>
            <w:tcW w:w="2342" w:type="dxa"/>
          </w:tcPr>
          <w:p w:rsidR="00000000" w:rsidRDefault="008126A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PORTFÖY YÖNETİMİ A.Ş.</w:t>
            </w:r>
          </w:p>
        </w:tc>
        <w:tc>
          <w:tcPr>
            <w:tcW w:w="2304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999,960.-YTL</w:t>
            </w:r>
          </w:p>
        </w:tc>
        <w:tc>
          <w:tcPr>
            <w:tcW w:w="2342" w:type="dxa"/>
          </w:tcPr>
          <w:p w:rsidR="00000000" w:rsidRDefault="008126A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GLOBAL FUNDING B.V.</w:t>
            </w:r>
          </w:p>
        </w:tc>
        <w:tc>
          <w:tcPr>
            <w:tcW w:w="2304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33,641.-YTL</w:t>
            </w:r>
          </w:p>
        </w:tc>
        <w:tc>
          <w:tcPr>
            <w:tcW w:w="2342" w:type="dxa"/>
          </w:tcPr>
          <w:p w:rsidR="00000000" w:rsidRDefault="008126A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TAS.HAL. ORALİTSA İNŞAAT MALZ.SAN.VE TİC. LTD.ŞTİ.</w:t>
            </w:r>
          </w:p>
        </w:tc>
        <w:tc>
          <w:tcPr>
            <w:tcW w:w="2304" w:type="dxa"/>
          </w:tcPr>
          <w:p w:rsidR="00000000" w:rsidRDefault="008126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12,500.-YTL</w:t>
            </w:r>
          </w:p>
        </w:tc>
        <w:tc>
          <w:tcPr>
            <w:tcW w:w="2342" w:type="dxa"/>
          </w:tcPr>
          <w:p w:rsidR="00000000" w:rsidRDefault="008126A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</w:t>
            </w: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8126A1">
      <w:pPr>
        <w:rPr>
          <w:rFonts w:ascii="Arial" w:hAnsi="Arial"/>
          <w:sz w:val="16"/>
        </w:rPr>
      </w:pPr>
    </w:p>
    <w:p w:rsidR="00000000" w:rsidRDefault="008126A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26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26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26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126A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26A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26A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26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26A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HACI ÖMER SABANCI HOLDİNG A.Ş.</w:t>
            </w:r>
          </w:p>
        </w:tc>
        <w:tc>
          <w:tcPr>
            <w:tcW w:w="1908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513,480,341</w:t>
            </w:r>
          </w:p>
        </w:tc>
        <w:tc>
          <w:tcPr>
            <w:tcW w:w="2410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34.232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26A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36,937,584</w:t>
            </w:r>
          </w:p>
        </w:tc>
        <w:tc>
          <w:tcPr>
            <w:tcW w:w="2410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2.463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26A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AKSİGORTA A.Ş</w:t>
            </w:r>
          </w:p>
        </w:tc>
        <w:tc>
          <w:tcPr>
            <w:tcW w:w="1908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99,300,219</w:t>
            </w:r>
          </w:p>
        </w:tc>
        <w:tc>
          <w:tcPr>
            <w:tcW w:w="2410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6.620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26A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EXSA A.Ş.</w:t>
            </w:r>
          </w:p>
        </w:tc>
        <w:tc>
          <w:tcPr>
            <w:tcW w:w="1908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33,215,044</w:t>
            </w:r>
          </w:p>
        </w:tc>
        <w:tc>
          <w:tcPr>
            <w:tcW w:w="2410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2.214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26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817,066,812</w:t>
            </w:r>
          </w:p>
        </w:tc>
        <w:tc>
          <w:tcPr>
            <w:tcW w:w="2410" w:type="dxa"/>
          </w:tcPr>
          <w:p w:rsidR="00000000" w:rsidRDefault="008126A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54.471</w:t>
            </w:r>
          </w:p>
        </w:tc>
      </w:tr>
    </w:tbl>
    <w:p w:rsidR="00000000" w:rsidRDefault="008126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26A1"/>
    <w:rsid w:val="0081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71B23-E0DC-4BEE-9EEE-B84B5F22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2005-04-27T18:09:00Z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-76531571</vt:i4>
  </property>
  <property fmtid="{D5CDD505-2E9C-101B-9397-08002B2CF9AE}" pid="3" name="_EmailSubject">
    <vt:lpwstr>SYB</vt:lpwstr>
  </property>
  <property fmtid="{D5CDD505-2E9C-101B-9397-08002B2CF9AE}" pid="4" name="_AuthorEmail">
    <vt:lpwstr>Ertan.Buyuksaatci@akbank.com</vt:lpwstr>
  </property>
  <property fmtid="{D5CDD505-2E9C-101B-9397-08002B2CF9AE}" pid="5" name="_AuthorEmailDisplayName">
    <vt:lpwstr>Ertan Büyüksaatçi (Mali Kor.Uls.Rap.Grb)</vt:lpwstr>
  </property>
  <property fmtid="{D5CDD505-2E9C-101B-9397-08002B2CF9AE}" pid="6" name="_ReviewingToolsShownOnce">
    <vt:lpwstr/>
  </property>
</Properties>
</file>