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7EE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DEMİSAŞ DÖKÜM EMAYE MAMULLERİ SANAYİ A.Ş.</w:t>
            </w:r>
          </w:p>
        </w:tc>
      </w:tr>
    </w:tbl>
    <w:p w:rsidR="00000000" w:rsidRDefault="00647EE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13.06.1974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DEMİR, DÖKÜM, EMAYELİ DÖKÜM KAPLAR VE DİĞER EŞYAYI ÜRETECEK SANAYİ KURMAK İŞLETMEK VE BUNLARA KATILMAKTIR.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 ES</w:t>
            </w:r>
            <w:r>
              <w:rPr>
                <w:rFonts w:ascii="Arial" w:hAnsi="Arial"/>
                <w:sz w:val="16"/>
              </w:rPr>
              <w:t>TABLISH TO PRODUCE, TO MANAGE AND TO PARTICIPATE IN THE INDUSTRY OF ALL KINDS OF IRON CASTINGS, ENAMELLED PRODUCTS, ENAMELLED CASTING POTS AND 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OKÇUMUSA CADDESİ, NO:1 BEYOĞLU 34420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AYDINCE</w:t>
            </w:r>
            <w:r>
              <w:rPr>
                <w:rFonts w:ascii="Arial" w:hAnsi="Arial"/>
                <w:sz w:val="16"/>
              </w:rPr>
              <w:t>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HAMDİ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(+90.212) </w:t>
            </w:r>
            <w:r>
              <w:rPr>
                <w:rFonts w:ascii="Arial" w:hAnsi="Arial"/>
                <w:sz w:val="16"/>
              </w:rPr>
              <w:t>251 59 15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(+09.212) 251 60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İŞÇ</w:t>
            </w:r>
            <w:r>
              <w:rPr>
                <w:rFonts w:ascii="Arial" w:hAnsi="Arial"/>
                <w:sz w:val="16"/>
              </w:rPr>
              <w:t>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UNITED METAL WORKERS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INDUSTRIALLISTS’ UNION/MESS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80.000.000,- </w:t>
            </w:r>
          </w:p>
          <w:p w:rsidR="00000000" w:rsidRDefault="00647EE1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* 21.04.2005 T</w:t>
            </w:r>
            <w:r>
              <w:rPr>
                <w:rFonts w:ascii="Arial" w:hAnsi="Arial"/>
                <w:sz w:val="16"/>
                <w:lang w:val="en-US"/>
              </w:rPr>
              <w:t>arihli Genel Kurul Kararıyla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</w:p>
    <w:p w:rsidR="00000000" w:rsidRDefault="00647EE1">
      <w:pPr>
        <w:rPr>
          <w:rFonts w:ascii="Arial" w:hAnsi="Arial"/>
          <w:sz w:val="16"/>
        </w:rPr>
      </w:pPr>
    </w:p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5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</w:tcPr>
          <w:p w:rsidR="00000000" w:rsidRDefault="00647E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453" w:type="dxa"/>
          </w:tcPr>
          <w:p w:rsidR="00000000" w:rsidRDefault="00647E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7E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274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42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42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</w:t>
            </w:r>
          </w:p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134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42" w:type="dxa"/>
          </w:tcPr>
          <w:p w:rsidR="00000000" w:rsidRDefault="00647EE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80.380</w:t>
            </w:r>
          </w:p>
        </w:tc>
        <w:tc>
          <w:tcPr>
            <w:tcW w:w="1134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42" w:type="dxa"/>
          </w:tcPr>
          <w:p w:rsidR="00000000" w:rsidRDefault="00647EE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70.013</w:t>
            </w:r>
          </w:p>
        </w:tc>
        <w:tc>
          <w:tcPr>
            <w:tcW w:w="1134" w:type="dxa"/>
          </w:tcPr>
          <w:p w:rsidR="00000000" w:rsidRDefault="00647EE1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47EE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Utilization </w:t>
      </w:r>
      <w:r>
        <w:rPr>
          <w:rFonts w:ascii="Arial" w:hAnsi="Arial"/>
          <w:i/>
          <w:sz w:val="16"/>
        </w:rPr>
        <w:t>Rate</w:t>
      </w:r>
    </w:p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31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</w:tcPr>
          <w:p w:rsidR="00000000" w:rsidRDefault="00647E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311" w:type="dxa"/>
          </w:tcPr>
          <w:p w:rsidR="00000000" w:rsidRDefault="00647E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7E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47EE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47EE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69.607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</w:p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7E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</w:t>
            </w:r>
            <w:r>
              <w:rPr>
                <w:rFonts w:ascii="Arial" w:hAnsi="Arial"/>
                <w:sz w:val="16"/>
              </w:rPr>
              <w:t>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47E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7E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47EE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23.242.888</w:t>
            </w:r>
          </w:p>
          <w:p w:rsidR="00000000" w:rsidRDefault="00647EE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15.101365</w:t>
            </w:r>
          </w:p>
        </w:tc>
        <w:tc>
          <w:tcPr>
            <w:tcW w:w="2410" w:type="dxa"/>
          </w:tcPr>
          <w:p w:rsidR="00000000" w:rsidRDefault="00647EE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647EE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95.554.639</w:t>
            </w:r>
          </w:p>
          <w:p w:rsidR="00000000" w:rsidRDefault="00647EE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61.806.530</w:t>
            </w:r>
          </w:p>
        </w:tc>
        <w:tc>
          <w:tcPr>
            <w:tcW w:w="2269" w:type="dxa"/>
          </w:tcPr>
          <w:p w:rsidR="00000000" w:rsidRDefault="00647EE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47EE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13.766.212</w:t>
            </w:r>
          </w:p>
          <w:p w:rsidR="00000000" w:rsidRDefault="00647EE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9.188.220</w:t>
            </w:r>
          </w:p>
        </w:tc>
        <w:tc>
          <w:tcPr>
            <w:tcW w:w="2410" w:type="dxa"/>
          </w:tcPr>
          <w:p w:rsidR="00000000" w:rsidRDefault="00647EE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559" w:type="dxa"/>
          </w:tcPr>
          <w:p w:rsidR="00000000" w:rsidRDefault="00647EE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75.434.366</w:t>
            </w:r>
          </w:p>
          <w:p w:rsidR="00000000" w:rsidRDefault="00647EE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41.862.166</w:t>
            </w:r>
          </w:p>
        </w:tc>
        <w:tc>
          <w:tcPr>
            <w:tcW w:w="2269" w:type="dxa"/>
          </w:tcPr>
          <w:p w:rsidR="00000000" w:rsidRDefault="00647EE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647EE1">
      <w:pPr>
        <w:rPr>
          <w:rFonts w:ascii="Arial" w:hAnsi="Arial"/>
          <w:b/>
          <w:sz w:val="16"/>
          <w:u w:val="single"/>
        </w:rPr>
      </w:pPr>
    </w:p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45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647E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</w:t>
            </w:r>
            <w:r>
              <w:rPr>
                <w:rFonts w:ascii="Arial" w:hAnsi="Arial"/>
                <w:sz w:val="16"/>
              </w:rPr>
              <w:t xml:space="preserve"> verilmektedir.</w:t>
            </w:r>
          </w:p>
        </w:tc>
        <w:tc>
          <w:tcPr>
            <w:tcW w:w="425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</w:p>
        </w:tc>
        <w:tc>
          <w:tcPr>
            <w:tcW w:w="4581" w:type="dxa"/>
          </w:tcPr>
          <w:p w:rsidR="00000000" w:rsidRDefault="00647E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843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7EE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7EE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ents</w:t>
            </w:r>
          </w:p>
        </w:tc>
        <w:tc>
          <w:tcPr>
            <w:tcW w:w="1984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985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Pik ve Sfero döküm parçaları imali, SAP projesi, Disa2 Kalıplama Ünitesi ve LNG-Evaporatör Tankları</w:t>
            </w:r>
          </w:p>
        </w:tc>
        <w:tc>
          <w:tcPr>
            <w:tcW w:w="1984" w:type="dxa"/>
          </w:tcPr>
          <w:p w:rsidR="00000000" w:rsidRDefault="00647EE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01.01.2004 -</w:t>
            </w:r>
          </w:p>
          <w:p w:rsidR="00000000" w:rsidRDefault="00647EE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31.12.2004 Devam</w:t>
            </w:r>
          </w:p>
        </w:tc>
        <w:tc>
          <w:tcPr>
            <w:tcW w:w="1843" w:type="dxa"/>
          </w:tcPr>
          <w:p w:rsidR="00000000" w:rsidRDefault="00647EE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985" w:type="dxa"/>
          </w:tcPr>
          <w:p w:rsidR="00000000" w:rsidRDefault="00647EE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2.836.663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003"/>
        <w:gridCol w:w="236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3" w:type="dxa"/>
          </w:tcPr>
          <w:p w:rsidR="00000000" w:rsidRDefault="00647E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236" w:type="dxa"/>
          </w:tcPr>
          <w:p w:rsidR="00000000" w:rsidRDefault="00647E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647E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2"/>
        <w:gridCol w:w="2693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693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647EE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693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KUMSAN DÖKÜM MALZEMELERİ SAN</w:t>
            </w:r>
            <w:r>
              <w:rPr>
                <w:rFonts w:ascii="Arial" w:hAnsi="Arial"/>
                <w:sz w:val="16"/>
              </w:rPr>
              <w:t>AYİ VE TİCARET A. Ş.</w:t>
            </w:r>
          </w:p>
        </w:tc>
        <w:tc>
          <w:tcPr>
            <w:tcW w:w="2693" w:type="dxa"/>
          </w:tcPr>
          <w:p w:rsidR="00000000" w:rsidRDefault="00647EE1">
            <w:pPr>
              <w:numPr>
                <w:ilvl w:val="1"/>
                <w:numId w:val="1"/>
              </w:num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985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</w:p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003"/>
        <w:gridCol w:w="236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3" w:type="dxa"/>
          </w:tcPr>
          <w:p w:rsidR="00000000" w:rsidRDefault="00647EE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36" w:type="dxa"/>
          </w:tcPr>
          <w:p w:rsidR="00000000" w:rsidRDefault="00647EE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647EE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551"/>
        <w:gridCol w:w="28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47EE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551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  <w:gridSpan w:val="2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47EE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gridSpan w:val="2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mount (YTL)</w:t>
            </w:r>
          </w:p>
        </w:tc>
        <w:tc>
          <w:tcPr>
            <w:tcW w:w="2126" w:type="dxa"/>
          </w:tcPr>
          <w:p w:rsidR="00000000" w:rsidRDefault="00647EE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47EE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SARKUYSAN ELEKTROLİTİK BAKIR SANAYİ VE TİCARET A.Ş.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12.444.136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340.374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230.953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HAMDİ BEKTAŞ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456.591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668.820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30.500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FAİK ÖZ</w:t>
            </w:r>
            <w:r>
              <w:rPr>
                <w:rFonts w:ascii="Arial" w:hAnsi="Arial"/>
                <w:sz w:val="16"/>
              </w:rPr>
              <w:t>BOYACI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154.004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SADİ ÖZKUYUMCU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 GERÇEK KİŞİ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4.344.888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1.753.206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7.546.528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820" w:type="dxa"/>
          </w:tcPr>
          <w:p w:rsidR="00000000" w:rsidRDefault="00647EE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410" w:type="dxa"/>
          </w:tcPr>
          <w:p w:rsidR="00000000" w:rsidRDefault="00647EE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28.000.000</w:t>
            </w:r>
          </w:p>
        </w:tc>
        <w:tc>
          <w:tcPr>
            <w:tcW w:w="2126" w:type="dxa"/>
          </w:tcPr>
          <w:p w:rsidR="00000000" w:rsidRDefault="00647EE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47EE1">
      <w:pPr>
        <w:jc w:val="both"/>
        <w:rPr>
          <w:rFonts w:ascii="Arial" w:hAnsi="Arial"/>
          <w:sz w:val="16"/>
        </w:rPr>
      </w:pP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</w:t>
      </w:r>
      <w:r>
        <w:rPr>
          <w:rFonts w:ascii="Arial" w:hAnsi="Arial"/>
          <w:sz w:val="16"/>
        </w:rPr>
        <w:t xml:space="preserve">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</w:t>
      </w:r>
      <w:r>
        <w:rPr>
          <w:rFonts w:ascii="Arial" w:hAnsi="Arial"/>
          <w:sz w:val="16"/>
        </w:rPr>
        <w:t>rı),</w:t>
      </w: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</w:t>
      </w:r>
      <w:r>
        <w:rPr>
          <w:rFonts w:ascii="Arial" w:hAnsi="Arial"/>
          <w:sz w:val="16"/>
        </w:rPr>
        <w:t xml:space="preserve">ilen </w:t>
      </w: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47EE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pStyle w:val="Heading2"/>
        <w:rPr>
          <w:color w:val="auto"/>
          <w:sz w:val="16"/>
        </w:rPr>
      </w:pPr>
    </w:p>
    <w:p w:rsidR="00000000" w:rsidRDefault="00647EE1">
      <w:pPr>
        <w:pStyle w:val="Heading2"/>
        <w:rPr>
          <w:color w:val="auto"/>
          <w:sz w:val="16"/>
        </w:rPr>
      </w:pPr>
      <w:r>
        <w:rPr>
          <w:color w:val="auto"/>
          <w:sz w:val="16"/>
        </w:rPr>
        <w:t>EK-2</w:t>
      </w: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İSTANBUL MENKUL KIYMETLER</w:t>
      </w:r>
    </w:p>
    <w:p w:rsidR="00000000" w:rsidRDefault="00647EE1">
      <w:pPr>
        <w:ind w:right="9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647EE1">
      <w:pPr>
        <w:pStyle w:val="Heading1"/>
        <w:rPr>
          <w:b/>
          <w:i w:val="0"/>
          <w:color w:val="auto"/>
          <w:u w:val="single"/>
          <w:lang w:val="tr-TR"/>
        </w:rPr>
      </w:pPr>
      <w:r>
        <w:rPr>
          <w:b/>
          <w:i w:val="0"/>
          <w:color w:val="auto"/>
          <w:u w:val="single"/>
          <w:lang w:val="tr-TR"/>
        </w:rPr>
        <w:t>BORSASI BAŞKANLIĞI’NA</w:t>
      </w: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26/04/2005</w:t>
      </w: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İlgi: 25.03.2005 tarih ve 1929 sayılı Genel Mektubunuz.</w:t>
      </w:r>
    </w:p>
    <w:p w:rsidR="00000000" w:rsidRDefault="00647EE1">
      <w:pPr>
        <w:ind w:right="91"/>
        <w:rPr>
          <w:rFonts w:ascii="Arial" w:hAnsi="Arial"/>
          <w:sz w:val="16"/>
        </w:rPr>
      </w:pPr>
    </w:p>
    <w:p w:rsidR="00000000" w:rsidRDefault="00647EE1">
      <w:pPr>
        <w:ind w:right="91"/>
        <w:jc w:val="both"/>
        <w:rPr>
          <w:rFonts w:ascii="Arial" w:hAnsi="Arial"/>
          <w:sz w:val="16"/>
        </w:rPr>
      </w:pPr>
    </w:p>
    <w:p w:rsidR="00000000" w:rsidRDefault="00647EE1">
      <w:pPr>
        <w:ind w:right="9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İlgi’de kayıtlı Genel Mektubunuz ile istemiş olduğunuz bilgilerin yazıcı çıktısı Ek’te</w:t>
      </w:r>
    </w:p>
    <w:p w:rsidR="00000000" w:rsidRDefault="00647EE1">
      <w:pPr>
        <w:ind w:right="9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sunulmuş, elektronik dosyası ise elektronik posta (e-mail) ile Genel Mektubunuz ekinde</w:t>
      </w:r>
      <w:r>
        <w:rPr>
          <w:rFonts w:ascii="Arial" w:hAnsi="Arial"/>
          <w:sz w:val="16"/>
        </w:rPr>
        <w:t xml:space="preserve"> belirtilen elektronik posta (e-mail) adresine 26.04.2005 tarihinde yollanmıştır. </w:t>
      </w:r>
    </w:p>
    <w:p w:rsidR="00000000" w:rsidRDefault="00647EE1">
      <w:pPr>
        <w:ind w:right="9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Elektronik posta (e-mail) ile yollanan dosyadaki bilgiler ile ilişik yazıcı çıktısında yeralan bilgiler arasında herhangi bir farklılık bulunmadığını, sözkonusu bilgilerin d</w:t>
      </w:r>
      <w:r>
        <w:rPr>
          <w:rFonts w:ascii="Arial" w:hAnsi="Arial"/>
          <w:sz w:val="16"/>
        </w:rPr>
        <w:t>aha önce mevzuat hükümleri çerçevesinde kamuya açıklanan bilgilerden oluştuğunu, defter, kayıt ve belgelerimize uygun olduğunu, tarafımızca hazırlanan ve elektronik posta (e-mail) ile yollanan, Borsanızın İnternet sitesinde aynen yayınlanacak manyetik dosy</w:t>
      </w:r>
      <w:r>
        <w:rPr>
          <w:rFonts w:ascii="Arial" w:hAnsi="Arial"/>
          <w:sz w:val="16"/>
        </w:rPr>
        <w:t>adaki her türlü bilginin doğruluğundan Şirketimizin sorumlu olduğunu beyan ve taahhüt ederiz.</w:t>
      </w:r>
    </w:p>
    <w:p w:rsidR="00000000" w:rsidRDefault="00647EE1">
      <w:pPr>
        <w:ind w:right="-622"/>
        <w:jc w:val="both"/>
        <w:rPr>
          <w:rFonts w:ascii="Arial" w:hAnsi="Arial"/>
          <w:sz w:val="16"/>
        </w:rPr>
      </w:pPr>
    </w:p>
    <w:p w:rsidR="00000000" w:rsidRDefault="00647EE1">
      <w:pPr>
        <w:ind w:right="-62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Saygılarımızla,</w:t>
      </w:r>
    </w:p>
    <w:p w:rsidR="00000000" w:rsidRDefault="00647EE1">
      <w:pPr>
        <w:ind w:right="-622"/>
        <w:jc w:val="both"/>
        <w:rPr>
          <w:rFonts w:ascii="Arial" w:hAnsi="Arial"/>
          <w:sz w:val="16"/>
        </w:rPr>
      </w:pPr>
    </w:p>
    <w:p w:rsidR="00000000" w:rsidRDefault="00647EE1">
      <w:pPr>
        <w:tabs>
          <w:tab w:val="center" w:pos="6237"/>
          <w:tab w:val="center" w:pos="6663"/>
        </w:tabs>
        <w:ind w:right="-622"/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 xml:space="preserve">DEMİSAŞ DÖKÜM EMAYE </w:t>
      </w:r>
    </w:p>
    <w:p w:rsidR="00000000" w:rsidRDefault="00647EE1">
      <w:pPr>
        <w:tabs>
          <w:tab w:val="center" w:pos="6237"/>
          <w:tab w:val="center" w:pos="6663"/>
        </w:tabs>
        <w:ind w:right="-622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  <w:t>MAMULLERİ SANAYİ A.Ş.</w:t>
      </w:r>
    </w:p>
    <w:p w:rsidR="00000000" w:rsidRDefault="00647EE1">
      <w:pPr>
        <w:ind w:right="-622"/>
        <w:jc w:val="both"/>
        <w:rPr>
          <w:rFonts w:ascii="Arial" w:hAnsi="Arial"/>
          <w:sz w:val="16"/>
        </w:rPr>
      </w:pPr>
    </w:p>
    <w:p w:rsidR="00000000" w:rsidRDefault="00647EE1">
      <w:pPr>
        <w:ind w:right="-622"/>
        <w:jc w:val="both"/>
        <w:rPr>
          <w:rFonts w:ascii="Arial" w:hAnsi="Arial"/>
          <w:sz w:val="16"/>
        </w:rPr>
      </w:pPr>
    </w:p>
    <w:p w:rsidR="00000000" w:rsidRDefault="00647EE1">
      <w:pPr>
        <w:ind w:right="-622"/>
        <w:jc w:val="both"/>
        <w:rPr>
          <w:rFonts w:ascii="Arial" w:hAnsi="Arial"/>
          <w:sz w:val="16"/>
        </w:rPr>
      </w:pPr>
    </w:p>
    <w:p w:rsidR="00000000" w:rsidRDefault="00647EE1">
      <w:pPr>
        <w:tabs>
          <w:tab w:val="center" w:pos="6096"/>
        </w:tabs>
        <w:ind w:right="-62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647EE1">
      <w:pPr>
        <w:tabs>
          <w:tab w:val="center" w:pos="4678"/>
          <w:tab w:val="center" w:pos="7513"/>
        </w:tabs>
        <w:ind w:right="-622"/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Sami SUCU</w:t>
      </w:r>
      <w:r>
        <w:rPr>
          <w:rFonts w:ascii="Arial" w:hAnsi="Arial"/>
          <w:b/>
          <w:sz w:val="16"/>
        </w:rPr>
        <w:tab/>
        <w:t>Akın AYDINCEREN</w:t>
      </w:r>
    </w:p>
    <w:p w:rsidR="00000000" w:rsidRDefault="00647EE1">
      <w:pPr>
        <w:tabs>
          <w:tab w:val="center" w:pos="4678"/>
          <w:tab w:val="center" w:pos="7513"/>
        </w:tabs>
        <w:ind w:right="-622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  <w:t xml:space="preserve">Yönetim Kurulu Başkanı </w:t>
      </w:r>
      <w:r>
        <w:rPr>
          <w:rFonts w:ascii="Arial" w:hAnsi="Arial"/>
          <w:b/>
          <w:sz w:val="16"/>
        </w:rPr>
        <w:tab/>
        <w:t>Genel Müdür</w:t>
      </w:r>
    </w:p>
    <w:p w:rsidR="00000000" w:rsidRDefault="00647EE1">
      <w:pPr>
        <w:tabs>
          <w:tab w:val="center" w:pos="4678"/>
          <w:tab w:val="center" w:pos="7513"/>
        </w:tabs>
        <w:ind w:right="-622"/>
        <w:jc w:val="both"/>
        <w:rPr>
          <w:rFonts w:ascii="Arial" w:hAnsi="Arial"/>
          <w:sz w:val="16"/>
        </w:rPr>
      </w:pPr>
    </w:p>
    <w:p w:rsidR="00000000" w:rsidRDefault="00647EE1">
      <w:pPr>
        <w:ind w:right="-622"/>
        <w:jc w:val="both"/>
        <w:rPr>
          <w:rFonts w:ascii="Arial" w:hAnsi="Arial"/>
          <w:sz w:val="16"/>
        </w:rPr>
      </w:pPr>
    </w:p>
    <w:p w:rsidR="00000000" w:rsidRDefault="00647EE1">
      <w:pPr>
        <w:jc w:val="both"/>
        <w:rPr>
          <w:rFonts w:ascii="Arial" w:hAnsi="Arial"/>
          <w:sz w:val="16"/>
        </w:rPr>
      </w:pPr>
    </w:p>
    <w:p w:rsidR="00000000" w:rsidRDefault="00647EE1">
      <w:pPr>
        <w:jc w:val="both"/>
        <w:rPr>
          <w:rFonts w:ascii="Arial" w:hAnsi="Arial"/>
          <w:sz w:val="16"/>
        </w:rPr>
      </w:pPr>
    </w:p>
    <w:p w:rsidR="00000000" w:rsidRDefault="00647EE1">
      <w:pPr>
        <w:jc w:val="both"/>
        <w:rPr>
          <w:rFonts w:ascii="Arial" w:hAnsi="Arial"/>
          <w:sz w:val="16"/>
        </w:rPr>
      </w:pPr>
    </w:p>
    <w:p w:rsidR="00000000" w:rsidRDefault="00647EE1">
      <w:pPr>
        <w:jc w:val="both"/>
        <w:rPr>
          <w:rFonts w:ascii="Arial" w:hAnsi="Arial"/>
          <w:sz w:val="16"/>
        </w:rPr>
      </w:pPr>
    </w:p>
    <w:p w:rsidR="00000000" w:rsidRDefault="00647EE1">
      <w:pPr>
        <w:jc w:val="both"/>
        <w:rPr>
          <w:rFonts w:ascii="Arial" w:hAnsi="Arial"/>
          <w:sz w:val="16"/>
        </w:rPr>
      </w:pPr>
    </w:p>
    <w:p w:rsidR="00000000" w:rsidRDefault="00647EE1">
      <w:pPr>
        <w:jc w:val="both"/>
        <w:rPr>
          <w:rFonts w:ascii="Arial" w:hAnsi="Arial"/>
          <w:sz w:val="16"/>
        </w:rPr>
      </w:pPr>
    </w:p>
    <w:p w:rsidR="00000000" w:rsidRDefault="00647EE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Ek: 1) Elektronik pos</w:t>
      </w:r>
      <w:r>
        <w:rPr>
          <w:rFonts w:ascii="Arial" w:hAnsi="Arial"/>
          <w:sz w:val="16"/>
        </w:rPr>
        <w:t xml:space="preserve">ta (e-mail) ile yollanan manyetik dosyada yeralan bilgilerin yazıcı çıktısı (her sayfa kaşelenmiş ve imzalanmış)  </w:t>
      </w:r>
    </w:p>
    <w:p w:rsidR="00000000" w:rsidRDefault="00647EE1">
      <w:pPr>
        <w:jc w:val="both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p w:rsidR="00000000" w:rsidRDefault="00647EE1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0EB0"/>
    <w:multiLevelType w:val="multilevel"/>
    <w:tmpl w:val="3490D9EA"/>
    <w:lvl w:ilvl="0">
      <w:start w:val="16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30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08056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EE1"/>
    <w:rsid w:val="0064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6994D-02EF-4155-8194-16F6E9F5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2005-04-26T19:14:00Z</cp:lastPrinted>
  <dcterms:created xsi:type="dcterms:W3CDTF">2022-09-01T21:33:00Z</dcterms:created>
  <dcterms:modified xsi:type="dcterms:W3CDTF">2022-09-01T21:33:00Z</dcterms:modified>
</cp:coreProperties>
</file>