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7A9A">
            <w:pPr>
              <w:pStyle w:val="Heading2"/>
              <w:ind w:left="396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EGS GAYRIMENKUL YATIRIM ORTAKLIĞI A.Ş.</w:t>
            </w:r>
          </w:p>
        </w:tc>
      </w:tr>
    </w:tbl>
    <w:p w:rsidR="00000000" w:rsidRDefault="00277A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 / 06 /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YATIRIM ORTAKLIĞI  /  REAL ESTATE INVESMENT AND DEVELOPMENT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POSTA CADDESİ KOZA</w:t>
            </w:r>
            <w:r>
              <w:rPr>
                <w:rFonts w:ascii="Arial" w:hAnsi="Arial"/>
                <w:sz w:val="16"/>
              </w:rPr>
              <w:t xml:space="preserve"> APARTMANI NO.9 KAT.2 D.5 ESENTEPE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TENGİZ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ÖZCAN ÖZTEN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AZMİ YILDIRIM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SEVDA ÖZTER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0 212 288 28 40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0 212 267 29 94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>75,000,000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1047"/>
        <w:gridCol w:w="163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277A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277A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6388" w:type="dxa"/>
          </w:tcPr>
          <w:p w:rsidR="00000000" w:rsidRDefault="00277A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</w:t>
            </w:r>
            <w:r>
              <w:rPr>
                <w:rFonts w:ascii="Arial" w:hAnsi="Arial"/>
                <w:i/>
                <w:sz w:val="16"/>
              </w:rPr>
              <w:t xml:space="preserve"> distribution of securities in the Company's portfolio  as of 31.12.2004 is shown below.</w:t>
            </w:r>
          </w:p>
        </w:tc>
      </w:tr>
    </w:tbl>
    <w:p w:rsidR="00000000" w:rsidRDefault="00277A9A">
      <w:pPr>
        <w:ind w:left="-851"/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1276"/>
        <w:gridCol w:w="851"/>
        <w:gridCol w:w="850"/>
        <w:gridCol w:w="1134"/>
        <w:gridCol w:w="992"/>
        <w:gridCol w:w="432"/>
        <w:gridCol w:w="160"/>
        <w:gridCol w:w="160"/>
        <w:gridCol w:w="160"/>
        <w:gridCol w:w="81"/>
        <w:gridCol w:w="79"/>
        <w:gridCol w:w="360"/>
        <w:gridCol w:w="411"/>
        <w:gridCol w:w="160"/>
        <w:gridCol w:w="160"/>
        <w:gridCol w:w="160"/>
        <w:gridCol w:w="371"/>
        <w:gridCol w:w="109"/>
        <w:gridCol w:w="316"/>
        <w:gridCol w:w="425"/>
        <w:gridCol w:w="110"/>
        <w:gridCol w:w="50"/>
        <w:gridCol w:w="691"/>
        <w:gridCol w:w="708"/>
        <w:gridCol w:w="709"/>
        <w:gridCol w:w="709"/>
        <w:gridCol w:w="709"/>
        <w:gridCol w:w="251"/>
        <w:gridCol w:w="50"/>
        <w:gridCol w:w="110"/>
        <w:gridCol w:w="156"/>
        <w:gridCol w:w="142"/>
        <w:gridCol w:w="109"/>
        <w:gridCol w:w="34"/>
        <w:gridCol w:w="108"/>
        <w:gridCol w:w="35"/>
        <w:gridCol w:w="106"/>
        <w:gridCol w:w="1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bookmarkStart w:id="0" w:name="RANGE!A5:Q158"/>
            <w:r>
              <w:rPr>
                <w:rFonts w:ascii="Arial" w:hAnsi="Arial"/>
                <w:sz w:val="16"/>
              </w:rPr>
              <w:t>GAYRİMENKULLER, GAYRİMENKUL PROJELERİ, GAYRİMENKULE DAYALI HAKLAR</w:t>
            </w:r>
            <w:bookmarkEnd w:id="0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Yeri ve Özellikleri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Tarihi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Değeri</w:t>
            </w:r>
          </w:p>
        </w:tc>
        <w:tc>
          <w:tcPr>
            <w:tcW w:w="9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</w:t>
            </w:r>
            <w:r>
              <w:rPr>
                <w:rFonts w:ascii="Arial" w:hAnsi="Arial"/>
                <w:sz w:val="16"/>
              </w:rPr>
              <w:t xml:space="preserve"> Tarihi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Ekspertiz Değeri (¹)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Değeri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Tarihi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Değeri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Bedeli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Kiracı</w:t>
            </w:r>
          </w:p>
        </w:tc>
        <w:tc>
          <w:tcPr>
            <w:tcW w:w="70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Başlangıç Dönemi</w:t>
            </w:r>
          </w:p>
        </w:tc>
        <w:tc>
          <w:tcPr>
            <w:tcW w:w="56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Süresi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Arsalar ve Araziler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377.000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%0,00268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İzmir, Menderes, Oğla</w:t>
            </w:r>
            <w:r>
              <w:rPr>
                <w:rFonts w:ascii="Arial" w:hAnsi="Arial"/>
                <w:sz w:val="16"/>
              </w:rPr>
              <w:t xml:space="preserve">nanası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101.051m2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06/11/96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22/10/97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57.200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29/12/04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377.000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377.000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%0,00268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left="-622" w:firstLine="62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Binalar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91.320.000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%0,64989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Shopping Park, Karşıyaka, İzmir (Alışveriş Merkezi)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44263 m2 brüt alanlı, galeria tipi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04/07/97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38.504.563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11/09/</w:t>
            </w: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9.647.470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29/12/04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91.320.000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91.320.000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%0,64989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42.705.000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29/12/04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kiracılar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ektedir</w:t>
            </w: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Gayrimenkuller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Projeleri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48.177.169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%0,34286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Business Park, Denizli, 1. Fazı (Alışveriş Merkezi, Hipermarket)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45.585 m2 ruhsat alanlı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25/12/97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21.097.214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05/09/97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31.750.000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29/12/04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45.525.000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20.086.649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%0,14295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21.000.000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29/12/04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1.475.000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</w:t>
            </w:r>
            <w:r>
              <w:rPr>
                <w:rFonts w:ascii="Arial" w:hAnsi="Arial"/>
                <w:sz w:val="16"/>
              </w:rPr>
              <w:t>ir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kiracılar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ektedir</w:t>
            </w: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ektedir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Business Park, Denizli 2. Faz (Otel ve İş Merkezi)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65.000 m2 kapalı alana sahip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25/12/97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7.371.660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05/09/97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58.000.000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29/12/04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37.750.000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6.880.294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%0,04896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Business Park, Yeşilköy, İstanb</w:t>
            </w:r>
            <w:r>
              <w:rPr>
                <w:rFonts w:ascii="Arial" w:hAnsi="Arial"/>
                <w:sz w:val="16"/>
              </w:rPr>
              <w:t>ul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95.075 m2 Tapusu Verl.83.016 m2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17.825.384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12/09/97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32.410.080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24/12/04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16.775.000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17.083.570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%0,12158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6.672.190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Basmane Business &amp; Trade Center , İzmir (İş, Konaklama ve Alışveriş Merkezi)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85275 m2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06/01/00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4.014.773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</w:t>
            </w:r>
            <w:r>
              <w:rPr>
                <w:rFonts w:ascii="Arial" w:hAnsi="Arial"/>
                <w:sz w:val="16"/>
              </w:rPr>
              <w:t>09/97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30.067.380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31/12/04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26.455.000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4.126.656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%0,02937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Gayrimenkule Dayalı Haklar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 TOPLAMI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139.874.169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%0,99543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İŞTİRAKLER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</w:t>
            </w:r>
            <w:r>
              <w:rPr>
                <w:rFonts w:ascii="Arial" w:hAnsi="Arial"/>
                <w:sz w:val="16"/>
              </w:rPr>
              <w:t>liyet Konusu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Giyim Sanayi İç ve Dış Ticaret A.Ş.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26/06/96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Grubu Ortak ve Ortak Şirketleri Mensupları Emekli, Sağık-Sosy</w:t>
            </w:r>
            <w:r>
              <w:rPr>
                <w:rFonts w:ascii="Arial" w:hAnsi="Arial"/>
                <w:sz w:val="16"/>
              </w:rPr>
              <w:t>al Güvenlik v Yardımlaşma Vakıfı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28/02/97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 TOPLAMI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4475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%0,00003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Birimi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Miktarı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Bileşik Faiz Ora</w:t>
            </w:r>
            <w:r>
              <w:rPr>
                <w:rFonts w:ascii="Arial" w:hAnsi="Arial"/>
                <w:sz w:val="16"/>
              </w:rPr>
              <w:t>nı</w:t>
            </w:r>
          </w:p>
        </w:tc>
        <w:tc>
          <w:tcPr>
            <w:tcW w:w="9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 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 Değeri (TL)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(Milyon TL)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637.076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%0,00453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Denizbank Kızıltoprak Şubesi (bloke hesap)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22.05.2002 ve muhtelif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24/01/05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%0,00010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Oyakbank Kızıltoprak Şubesi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29.12.2004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245.282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03/01/05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245.282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%0,00175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Anadolubank Tarabya Şubesi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31/01/05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%0,00249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Denizbank Kızıltoprak Şubesi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28.12.2004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04/01/05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</w:t>
            </w:r>
            <w:r>
              <w:rPr>
                <w:rFonts w:ascii="Arial" w:hAnsi="Arial"/>
                <w:sz w:val="16"/>
              </w:rPr>
              <w:t>794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%0,00020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 TOPLAMI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637.076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%82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637.076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%0,00453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140515720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</w:t>
            </w:r>
            <w:r>
              <w:rPr>
                <w:rFonts w:ascii="Arial" w:hAnsi="Arial"/>
                <w:sz w:val="16"/>
              </w:rPr>
              <w:t>516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8593892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128495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BORÇLAR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71899387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78259236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SAYISI ( Milyon Adet 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PAYBAŞI NET AKTİF DEĞERİ (TL)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1565,2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ORTAKLIK HİSSE SENEDİNİN İMKB SON SEANS AĞIRLIKLI ORTALAMA FİYATI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80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80" w:type="dxa"/>
            <w:tcBorders>
              <w:top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80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BİLGİLER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9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556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Portföydeki </w:t>
            </w:r>
            <w:r>
              <w:rPr>
                <w:rFonts w:ascii="Arial" w:hAnsi="Arial"/>
                <w:b/>
                <w:sz w:val="16"/>
              </w:rPr>
              <w:t>Projelere İlişkin Olarak Yıllar İtibariyle Planlanan Ödeme Tutarları 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Yoktur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556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Alınan Kredilere İlişkin Açıklamalar 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Alınan Kuruluş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(İlgili Para Birimi C</w:t>
            </w:r>
            <w:r>
              <w:rPr>
                <w:rFonts w:ascii="Arial" w:hAnsi="Arial"/>
                <w:sz w:val="16"/>
              </w:rPr>
              <w:t>insinden)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    (MİLYON TL) (*)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Faiz Oranı</w:t>
            </w:r>
          </w:p>
        </w:tc>
        <w:tc>
          <w:tcPr>
            <w:tcW w:w="6665" w:type="dxa"/>
            <w:gridSpan w:val="2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Albaraka Türk A.Ş.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1.307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1.763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Süresiz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6665" w:type="dxa"/>
            <w:gridSpan w:val="2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 Faiz ana paraya dahil edilmiştir.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KBC 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131.853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177.817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02/05/2005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2,69</w:t>
            </w:r>
          </w:p>
        </w:tc>
        <w:tc>
          <w:tcPr>
            <w:tcW w:w="6665" w:type="dxa"/>
            <w:gridSpan w:val="2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Hypobank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58.836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107.999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26/04/2005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  <w:tc>
          <w:tcPr>
            <w:tcW w:w="6665" w:type="dxa"/>
            <w:gridSpan w:val="2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First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141.906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191.374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05/07/2005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2,69</w:t>
            </w:r>
          </w:p>
        </w:tc>
        <w:tc>
          <w:tcPr>
            <w:tcW w:w="6665" w:type="dxa"/>
            <w:gridSpan w:val="2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</w:t>
            </w:r>
            <w:r>
              <w:rPr>
                <w:rFonts w:ascii="Arial" w:hAnsi="Arial"/>
                <w:sz w:val="16"/>
              </w:rPr>
              <w:t xml:space="preserve">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Bankası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17.781.500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23.980.131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Süresiz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15,79</w:t>
            </w:r>
          </w:p>
        </w:tc>
        <w:tc>
          <w:tcPr>
            <w:tcW w:w="6665" w:type="dxa"/>
            <w:gridSpan w:val="2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5.128.197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6.915.886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Süresiz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6,65</w:t>
            </w:r>
          </w:p>
        </w:tc>
        <w:tc>
          <w:tcPr>
            <w:tcW w:w="6665" w:type="dxa"/>
            <w:gridSpan w:val="2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Bank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430.117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789.523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Süresiz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6,65</w:t>
            </w:r>
          </w:p>
        </w:tc>
        <w:tc>
          <w:tcPr>
            <w:tcW w:w="6665" w:type="dxa"/>
            <w:gridSpan w:val="2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815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 Krediler 31.12.2004 TC.Merkez Bankası Döviz Satış Kuru ile TL' ye dönülmüştür.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11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11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13" w:type="dxa"/>
            <w:gridSpan w:val="2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Rehin, İpotek ve Teminatlara İlişkin Açıklamalar :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Para B</w:t>
            </w:r>
            <w:r>
              <w:rPr>
                <w:rFonts w:ascii="Arial" w:hAnsi="Arial"/>
                <w:b/>
                <w:sz w:val="16"/>
              </w:rPr>
              <w:t>irimi (*)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Açıklama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6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Kesin Teminat Mektupları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281.056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ve Mavişehir Alışveriş Merkezleri ile ilgili kiracılardan alınan teminat mektupları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51.152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</w:t>
            </w:r>
            <w:r>
              <w:rPr>
                <w:rFonts w:ascii="Arial" w:hAnsi="Arial"/>
                <w:sz w:val="16"/>
              </w:rPr>
              <w:t>rojesi ile ilgili kredi karşılığı alınan gayrinakdi teminat mektubları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203.940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ve Mavişehir Alışveriş Merkezleri ile ilgili kiracılardan alınan teminat mektuplarıdır.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CHF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530.000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</w:t>
            </w:r>
            <w:r>
              <w:rPr>
                <w:rFonts w:ascii="Arial" w:hAnsi="Arial"/>
                <w:sz w:val="16"/>
              </w:rPr>
              <w:t>ilköy projesi ile ilgili kredi karşılığı alınan gayrinakdi teminat mektubları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Teminat Senetleri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728.631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ve Mavişehir Alışveriş Merkezleri ile ilgili kiracılardan alınan teminat senetleri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DM 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       12.730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 reklam firmasına ait almış olduğumuz teminat senedi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15.974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yaptırılan işler amacıyla alınmış 6 adet teminat senedi.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Teminat Çekleri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510.500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</w:t>
            </w:r>
            <w:r>
              <w:rPr>
                <w:rFonts w:ascii="Arial" w:hAnsi="Arial"/>
                <w:sz w:val="16"/>
              </w:rPr>
              <w:t>y projesi ile ilgili inşaat işleri için alınan teminat çekleri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192.431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ve Mavişehir Alışveriş Merkezleri ile ilgili kiracılardan alınan teminat çekleri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Verilen İpotekler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97.610.000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</w:t>
            </w:r>
            <w:r>
              <w:rPr>
                <w:rFonts w:ascii="Arial" w:hAnsi="Arial"/>
                <w:sz w:val="16"/>
              </w:rPr>
              <w:t xml:space="preserve">köy üzerinde      Albaraka                           12.150.000 MLY.TL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Mavişehir üzerinde            İş Bankası                         50.000.000 MLY.TL.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076" w:type="dxa"/>
            <w:gridSpan w:val="3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üzerinde      İş Bankası                         27.710.000 MLY.TL.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</w:t>
            </w:r>
            <w:r>
              <w:rPr>
                <w:rFonts w:ascii="Arial" w:hAnsi="Arial"/>
                <w:sz w:val="16"/>
              </w:rPr>
              <w:t>m Yeşilköy üzerinde      Toprak Yatırım Bankası       750.000 MLY.TL.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üzerinde      EGS Bank                            2.000.000 MLY.TL.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Denizli üzerinde                  EGS Bank                            5.000.000 MLY.TL.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Veril</w:t>
            </w:r>
            <w:r>
              <w:rPr>
                <w:rFonts w:ascii="Arial" w:hAnsi="Arial"/>
                <w:sz w:val="16"/>
              </w:rPr>
              <w:t>en Teminat Mektupları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949.431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projesi ile ilgili verilen teminat mektubu ve 2 adet kredi karşılığı verilen gayrinakdi teminat mektubu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117.672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projesi ile ilgili kre</w:t>
            </w:r>
            <w:r>
              <w:rPr>
                <w:rFonts w:ascii="Arial" w:hAnsi="Arial"/>
                <w:sz w:val="16"/>
              </w:rPr>
              <w:t>di karşılığı verilen gayrinakdi teminat mektubu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1.613.594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alınan hizmetler karşılığında Tedaş Denizli ve İzmir, Bedaş, Gümrük Müdürlükleri,Bakırköy 6.Asliye Hukuk Mahkemesi ve Kordon Vergi Dairesine verilen teminat mekt</w:t>
            </w:r>
            <w:r>
              <w:rPr>
                <w:rFonts w:ascii="Arial" w:hAnsi="Arial"/>
                <w:sz w:val="16"/>
              </w:rPr>
              <w:t xml:space="preserve">upları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Verilen Teminat Senetleri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6.880.386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projesi ile ilgili kredi karşılığı verilen teminat senetleri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İpotekler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351.262    </w:t>
            </w:r>
          </w:p>
        </w:tc>
        <w:tc>
          <w:tcPr>
            <w:tcW w:w="8076" w:type="dxa"/>
            <w:gridSpan w:val="3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İdtm Yeşilköy projesi ile ilgili 2 adet müşteriden alı</w:t>
            </w:r>
            <w:r>
              <w:rPr>
                <w:rFonts w:ascii="Arial" w:hAnsi="Arial"/>
                <w:sz w:val="16"/>
              </w:rPr>
              <w:t>nan ipotek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67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(*) Döviz tutarları tam olarak gösterilmiştir.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67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67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891" w:type="dxa"/>
            <w:gridSpan w:val="3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Bir Önceki Tabloya Göre Değişiklikler :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465" w:type="dxa"/>
            <w:gridSpan w:val="3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 Türkiye İş Bankası A.Ş. İpotekle temin edilmiş 50 Trilyonluk alacağını Mavişehir Alışvariş</w:t>
            </w:r>
            <w:r>
              <w:rPr>
                <w:rFonts w:ascii="Arial" w:hAnsi="Arial"/>
                <w:sz w:val="16"/>
              </w:rPr>
              <w:t xml:space="preserve"> Merkezi'ndeki ipoteklerle birlikte Ege Varlık Yönetim A.Ş.'ye 05/11/2004 tarihinde 17.500.000 USD bedel karşılığında temlik etmiştir.</w:t>
            </w: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322" w:type="dxa"/>
            <w:gridSpan w:val="3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2)  Ege Varlık Yönetimi A.Ş., İcra Müdürlüğünce 23/11/2004-17/12/2004 tarihleri arasında 7 ayrı günde yapılan ihaleler</w:t>
            </w:r>
            <w:r>
              <w:rPr>
                <w:rFonts w:ascii="Arial" w:hAnsi="Arial"/>
                <w:sz w:val="16"/>
              </w:rPr>
              <w:t xml:space="preserve">e iştirak ederek şirketin İzmir Karşıyakadaki EGS Park Alışveriş Merkezindeki bütün bağımsız bölümlerini temellük ettiği alacağına mahsuben satın almıştır. Yapılan ihalelere </w:t>
            </w: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815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şirketimiz avukatları her yönüyle itiraz etmiş ve ihaleler henüz kesinle</w:t>
            </w:r>
            <w:r>
              <w:rPr>
                <w:rFonts w:ascii="Arial" w:hAnsi="Arial"/>
                <w:sz w:val="16"/>
              </w:rPr>
              <w:t>şmemiştir.</w:t>
            </w: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891" w:type="dxa"/>
            <w:gridSpan w:val="3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3) Basmane Business &amp; rade Center İzmir (İş Konaklama ve Alışveriş Merkezi) 31/12/2003 tarihi itibariyle Ekspertiz değeri 180.040.000 Milyon TL iken 31/12/2004 tarihinde yapılan ekspertiz raporlarında 26.455.000 Milyon TL ye düşmüştü</w:t>
            </w:r>
            <w:r>
              <w:rPr>
                <w:rFonts w:ascii="Arial" w:hAnsi="Arial"/>
                <w:sz w:val="16"/>
              </w:rPr>
              <w:t xml:space="preserve">r. Bunun nedeni, imar durumu değişikliği sebebiyle yapılaşma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927" w:type="dxa"/>
            <w:gridSpan w:val="2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hakkının azalmış olması, mevcut imar durumu itibariyle projede revizyon ihtiyacı doğmuş olmasıdır.Bu hususlar dikkate alınarak sadece taşınmazın mevcut durumuyla değerinin tespiti yapılmışt</w:t>
            </w:r>
            <w:r>
              <w:rPr>
                <w:rFonts w:ascii="Arial" w:hAnsi="Arial"/>
                <w:sz w:val="16"/>
              </w:rPr>
              <w:t>ır.</w:t>
            </w: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891" w:type="dxa"/>
            <w:gridSpan w:val="3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4) Daha önce göndermiş olduğumuz Aralık 2004 dönemine ait portföy tablosunda Gayrımenkul projelerine ait portföy değerleri projelerin başlangıcında yapılan bütçe değerleri dikkate alınarak hesaplanmıştı. Ancak Portföy tablosu hazırlama klavuzuna g</w:t>
            </w:r>
            <w:r>
              <w:rPr>
                <w:rFonts w:ascii="Arial" w:hAnsi="Arial"/>
                <w:sz w:val="16"/>
              </w:rPr>
              <w:t>öre gayrımenkul projelerinin portföy değerleri tablo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927" w:type="dxa"/>
            <w:gridSpan w:val="2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tarihine kadar projeye ilişkin olarak ortaklık tarafından yapılan (ödenen) harcamaların toplam tutarları olması gerektiği için bu husus dikkate alınarak Aralık 2004 Portföy Tablosu yeniden düzenlen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69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891" w:type="dxa"/>
            <w:gridSpan w:val="3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891" w:type="dxa"/>
            <w:gridSpan w:val="3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Ortaklığa Verilmiş Olan Ek Süreler ve Diğer Yasal Yükümlülüklere İlişkin Bilgiler :  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226" w:type="dxa"/>
            <w:gridSpan w:val="1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SINIRLAMALARI KONTROLLERİ</w:t>
            </w:r>
          </w:p>
        </w:tc>
        <w:tc>
          <w:tcPr>
            <w:tcW w:w="1276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68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2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26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%50 Kontrolü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GAYRİMENKULLER, GAYRİMENKUL PROJELERİ VE GAYRİMENKULE DAYA</w:t>
            </w:r>
            <w:r>
              <w:rPr>
                <w:rFonts w:ascii="Arial" w:hAnsi="Arial"/>
                <w:sz w:val="16"/>
              </w:rPr>
              <w:t>LI HAKLAR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139874169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PARA VE SERMAYE PİYASASI ARAÇLARININ ÜÇ YILLIK GAYRİMENKUL ÖDEMELERİ İÇİN TUTULAN KISMI</w:t>
            </w:r>
          </w:p>
        </w:tc>
        <w:tc>
          <w:tcPr>
            <w:tcW w:w="127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139874169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%0,99</w:t>
            </w:r>
            <w:r>
              <w:rPr>
                <w:rFonts w:ascii="Arial" w:hAnsi="Arial"/>
                <w:sz w:val="16"/>
              </w:rPr>
              <w:t>543</w:t>
            </w:r>
          </w:p>
        </w:tc>
        <w:tc>
          <w:tcPr>
            <w:tcW w:w="85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İŞTİRAKLER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YATIRIM AMAÇLI TUTULAN PARA VE SERMAYE PİYASASI ARAÇLARI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637076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İŞTİRAKLER VE YATIRIM AMAÇLI TUTULAN PARA VE SERMAYE PİYASASI ARAÇLARI (D+E)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641551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%0,00457</w:t>
            </w: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140515720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2. Mevduat </w:t>
            </w:r>
            <w:r>
              <w:rPr>
                <w:rFonts w:ascii="Arial" w:hAnsi="Arial"/>
                <w:b/>
                <w:sz w:val="16"/>
              </w:rPr>
              <w:t>Kontrolü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Vadeli / Vadesiz Döviz Tevdiat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Vadeli TL Mevduat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637.076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Toplam Yatırım Amaçlı Mevduat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637076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%0,00453</w:t>
            </w: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140515720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İştirak Sınırı Kontrolü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A) EGS Egeser Giyim Sanayi İç ve Dış </w:t>
            </w:r>
            <w:r>
              <w:rPr>
                <w:rFonts w:ascii="Arial" w:hAnsi="Arial"/>
                <w:sz w:val="16"/>
              </w:rPr>
              <w:t>Ticaret A.Ş.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4375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5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B) EGS Grubu Ortak ve Ortak Şirketleri Mensupları Emekli, Sağık-Sosyal Güvenlik ve Yardımlaşma Vakıfı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İştirakler Toplamı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%0,00003</w:t>
            </w: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140515720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 Atıl tutulan Arsa / Araz</w:t>
            </w:r>
            <w:r>
              <w:rPr>
                <w:rFonts w:ascii="Arial" w:hAnsi="Arial"/>
                <w:b/>
                <w:sz w:val="16"/>
              </w:rPr>
              <w:t>i Sınırı Kontrolü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85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</w:t>
            </w: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Geçmiş mi?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1 : İzmir- Menderes- Oğalananası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06/11/96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31/12/04</w:t>
            </w: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Evet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377.000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%0,00268</w:t>
            </w: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Geçenlerin Portföy Değeri Toplamı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377.000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</w:t>
            </w:r>
            <w:r>
              <w:rPr>
                <w:rFonts w:ascii="Arial" w:hAnsi="Arial"/>
                <w:sz w:val="16"/>
              </w:rPr>
              <w:t>TFÖY DEĞERİ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140.515.720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Kredi Sınırı Kontrolü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Kredi 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Albaraka Türk A.Ş.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1.763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Kredi 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KBC Bank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177.817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Kredi 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Hypobank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107.999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Kredi 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First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191.374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Kredi 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Bankası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23.980.131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Kredi 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Bank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6.915.886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G) Kredi 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Bank</w:t>
            </w: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789.523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77A9A">
            <w:pPr>
              <w:ind w:firstLine="3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Krediler Toplamı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2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32.164.494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%0,41100</w:t>
            </w:r>
          </w:p>
        </w:tc>
        <w:tc>
          <w:tcPr>
            <w:tcW w:w="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226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78.259.236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68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2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p w:rsidR="00000000" w:rsidRDefault="00277A9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7A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277A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7A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7A9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7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77A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7A9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7A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77A9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77A9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1892" w:type="dxa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11.750.643</w:t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 Gİ</w:t>
            </w:r>
            <w:r>
              <w:rPr>
                <w:rFonts w:ascii="Arial" w:hAnsi="Arial"/>
                <w:sz w:val="16"/>
              </w:rPr>
              <w:t>YİM SANAYİ VE DIŞ TİCARET A.Ş.</w:t>
            </w:r>
          </w:p>
        </w:tc>
        <w:tc>
          <w:tcPr>
            <w:tcW w:w="1892" w:type="dxa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1.068.462</w:t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FİNANSAL KİRALAMA A.Ş.</w:t>
            </w:r>
          </w:p>
        </w:tc>
        <w:tc>
          <w:tcPr>
            <w:tcW w:w="1892" w:type="dxa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357.000</w:t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GİYİM SNAYİCİLERİ SİGORTA A.Ş.</w:t>
            </w:r>
          </w:p>
        </w:tc>
        <w:tc>
          <w:tcPr>
            <w:tcW w:w="1892" w:type="dxa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145.713</w:t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SANAYİ İÇ VE DIŞ TİCARET A.Ş.</w:t>
            </w:r>
          </w:p>
        </w:tc>
        <w:tc>
          <w:tcPr>
            <w:tcW w:w="1892" w:type="dxa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63</w:t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HEKİMOĞLU</w:t>
            </w:r>
          </w:p>
        </w:tc>
        <w:tc>
          <w:tcPr>
            <w:tcW w:w="1892" w:type="dxa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</w:t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</w:t>
            </w:r>
            <w:r>
              <w:rPr>
                <w:rFonts w:ascii="Arial" w:hAnsi="Arial"/>
                <w:sz w:val="16"/>
              </w:rPr>
              <w:t>ERN MENSUCAT A.Ş.</w:t>
            </w:r>
          </w:p>
        </w:tc>
        <w:tc>
          <w:tcPr>
            <w:tcW w:w="1892" w:type="dxa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</w:t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- B GRUBU</w:t>
            </w:r>
          </w:p>
        </w:tc>
        <w:tc>
          <w:tcPr>
            <w:tcW w:w="189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36,678,107 </w:t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77A9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50,000,000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7A9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77A9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77A9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77A9A"/>
    <w:sectPr w:rsidR="00000000">
      <w:pgSz w:w="16840" w:h="11907" w:orient="landscape" w:code="9"/>
      <w:pgMar w:top="1797" w:right="369" w:bottom="1797" w:left="3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7A9A"/>
    <w:rsid w:val="002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500EC-F990-4ABE-A483-A345961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2005-05-13T15:54:00Z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1893053193</vt:i4>
  </property>
  <property fmtid="{D5CDD505-2E9C-101B-9397-08002B2CF9AE}" pid="3" name="_EmailSubject">
    <vt:lpwstr>SYB</vt:lpwstr>
  </property>
  <property fmtid="{D5CDD505-2E9C-101B-9397-08002B2CF9AE}" pid="4" name="_AuthorEmail">
    <vt:lpwstr>guls@egsgyo.com</vt:lpwstr>
  </property>
  <property fmtid="{D5CDD505-2E9C-101B-9397-08002B2CF9AE}" pid="5" name="_AuthorEmailDisplayName">
    <vt:lpwstr>Gül Yalçıner</vt:lpwstr>
  </property>
  <property fmtid="{D5CDD505-2E9C-101B-9397-08002B2CF9AE}" pid="6" name="_ReviewingToolsShownOnce">
    <vt:lpwstr/>
  </property>
</Properties>
</file>