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3D5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GLOBAL YATIRIM HOLDİNG A.Ş. </w:t>
            </w:r>
          </w:p>
        </w:tc>
      </w:tr>
    </w:tbl>
    <w:p w:rsidR="00000000" w:rsidRDefault="00A93D5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Şirket’in finans, enerji, altyapı ve ulaştırma işletmeciliği alanında kurulmuş veya kurulacak olan şirketlerin sermaye ve yönetimine katılarak bunların yatırı</w:t>
            </w:r>
            <w:r>
              <w:rPr>
                <w:rFonts w:ascii="Arial" w:hAnsi="Arial"/>
                <w:sz w:val="16"/>
              </w:rPr>
              <w:t>m, finansman, organizasyon ve yönetim meselelerini toplu bir bünye içerisinde ekonomik dalgalanmalara karşı yatırım güvenliğini arttırmak ve böylece bu şirketlerin sağlıklı şekilde ve milli ekonominin gereklerine uygun olarak gelişmelerini ve devamlılıklar</w:t>
            </w:r>
            <w:r>
              <w:rPr>
                <w:rFonts w:ascii="Arial" w:hAnsi="Arial"/>
                <w:sz w:val="16"/>
              </w:rPr>
              <w:t>ını teminat altına almak ve bu amaca uygun ticari, sınai ve mali girişimlerde bulunmaktır.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NO:57 KARAKÖY/İSTANBUL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KADRİ SAMSUNLU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GÜL GENCER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TREVOR TREFGARNE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VASSILIKI CAMPBELL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0212 244 55 66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0212 244 55 67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75,000,000.-YTL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3D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93D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A93D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3D5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93D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(YTL)*</w:t>
            </w:r>
          </w:p>
        </w:tc>
        <w:tc>
          <w:tcPr>
            <w:tcW w:w="3543" w:type="dxa"/>
          </w:tcPr>
          <w:p w:rsidR="00000000" w:rsidRDefault="00A93D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3D5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93D5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 Revenues (YTL)</w:t>
            </w:r>
          </w:p>
        </w:tc>
        <w:tc>
          <w:tcPr>
            <w:tcW w:w="3543" w:type="dxa"/>
          </w:tcPr>
          <w:p w:rsidR="00000000" w:rsidRDefault="00A93D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3D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A93D5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539,252</w:t>
            </w:r>
          </w:p>
        </w:tc>
        <w:tc>
          <w:tcPr>
            <w:tcW w:w="3543" w:type="dxa"/>
          </w:tcPr>
          <w:p w:rsidR="00000000" w:rsidRDefault="00A93D5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93D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A93D5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688,762</w:t>
            </w:r>
          </w:p>
        </w:tc>
        <w:tc>
          <w:tcPr>
            <w:tcW w:w="3543" w:type="dxa"/>
          </w:tcPr>
          <w:p w:rsidR="00000000" w:rsidRDefault="00A93D5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93D59">
      <w:pPr>
        <w:rPr>
          <w:rFonts w:ascii="Arial" w:hAnsi="Arial"/>
          <w:sz w:val="16"/>
        </w:rPr>
      </w:pPr>
    </w:p>
    <w:p w:rsidR="00000000" w:rsidRDefault="00A93D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Sadece iştiraklerden elde edilen temettü gelirlerini içermektedir.  </w:t>
      </w:r>
    </w:p>
    <w:p w:rsidR="00000000" w:rsidRDefault="00A93D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 2003 ve 2004 yıllarında şirket zarar açıklamıştır. </w:t>
      </w:r>
    </w:p>
    <w:p w:rsidR="00000000" w:rsidRDefault="00A93D59">
      <w:pPr>
        <w:rPr>
          <w:rFonts w:ascii="Arial" w:hAnsi="Arial"/>
          <w:sz w:val="16"/>
        </w:rPr>
      </w:pPr>
    </w:p>
    <w:p w:rsidR="00000000" w:rsidRDefault="00A93D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3D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3D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93D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3D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93D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 MENKUL KIYMETLER YATIRIM ORTAKLIĞI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1,544,498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DEĞERLER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17,150,446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YÖNETİMİ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5,046,371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 MOBILIARE S.A.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4,726,094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PRODUCTS LTD.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2,033,213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</w:t>
            </w:r>
            <w:r>
              <w:rPr>
                <w:rFonts w:ascii="Arial" w:hAnsi="Arial"/>
                <w:color w:val="000000"/>
                <w:sz w:val="16"/>
              </w:rPr>
              <w:t>URITIES BULGARIA A.D.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1,000,347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224,662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EURO-ASIA INVESTMENT MANAGEMENT LTD.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521,133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BAKU BORSASI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137,522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BOĞAZİÇİ YATIRIM HOLDİNG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269,592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INTERNATIONAL BV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18,664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MENKUL DEĞERLER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2,027,343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HAYAT SİGORTA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4,121,422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GAZNET ŞEHİR DOĞALGAZ DAĞITIM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843,615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DODAŞ DOĞALGAZ DAĞITIM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25,188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YATIRIM HOLDİNG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645,924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ALTYAPI HİZMETLERİ V</w:t>
            </w:r>
            <w:r>
              <w:rPr>
                <w:rFonts w:ascii="Arial" w:hAnsi="Arial"/>
                <w:color w:val="000000"/>
                <w:sz w:val="16"/>
              </w:rPr>
              <w:t>E İŞLETMECİLİK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10,015,781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ÇORUM GAZ A.Ş.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523,985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SOFYA BORSASI</w:t>
            </w:r>
          </w:p>
        </w:tc>
        <w:tc>
          <w:tcPr>
            <w:tcW w:w="2304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</w:t>
            </w:r>
          </w:p>
        </w:tc>
        <w:tc>
          <w:tcPr>
            <w:tcW w:w="2342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</w:tbl>
    <w:p w:rsidR="00000000" w:rsidRDefault="00A93D5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3D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3D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3D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D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3D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93D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3D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3D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93D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93D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9,064,040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6,400,603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İMREGÜL GENCER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80,000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9,004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YATIRIM HOLDİNG A.Ş.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6,846,240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52,600,113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93D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93D5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75,000,000</w:t>
            </w:r>
          </w:p>
        </w:tc>
        <w:tc>
          <w:tcPr>
            <w:tcW w:w="2410" w:type="dxa"/>
          </w:tcPr>
          <w:p w:rsidR="00000000" w:rsidRDefault="00A93D5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93D5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D59"/>
    <w:rsid w:val="00A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057F-5621-4368-BB15-30AE8E8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2005-04-28T20:32:00Z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-187759652</vt:i4>
  </property>
  <property fmtid="{D5CDD505-2E9C-101B-9397-08002B2CF9AE}" pid="3" name="_EmailSubject">
    <vt:lpwstr>SYB</vt:lpwstr>
  </property>
  <property fmtid="{D5CDD505-2E9C-101B-9397-08002B2CF9AE}" pid="4" name="_AuthorEmail">
    <vt:lpwstr>Bircanu@global.com.tr</vt:lpwstr>
  </property>
  <property fmtid="{D5CDD505-2E9C-101B-9397-08002B2CF9AE}" pid="5" name="_AuthorEmailDisplayName">
    <vt:lpwstr>Bircan Uyar</vt:lpwstr>
  </property>
  <property fmtid="{D5CDD505-2E9C-101B-9397-08002B2CF9AE}" pid="6" name="_ReviewingToolsShownOnce">
    <vt:lpwstr/>
  </property>
</Properties>
</file>