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27E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 YATIRIM ORTAKLIĞI A.Ş.</w:t>
            </w:r>
          </w:p>
        </w:tc>
      </w:tr>
    </w:tbl>
    <w:p w:rsidR="00000000" w:rsidRDefault="004227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SİPAHİOĞLU CAD. NO:25 34149 YEŞİLYURT/İSTANBUL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KEMAL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GÜLAY ALP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NİL ALP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MUSTAFA BAŞ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ind w:right="-102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0.212.662 80</w:t>
            </w:r>
            <w:r>
              <w:rPr>
                <w:rFonts w:ascii="Arial" w:hAnsi="Arial"/>
                <w:sz w:val="16"/>
              </w:rPr>
              <w:t xml:space="preserve">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0.212.662 95 45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10.000.000.000.000.-TL             (10.000.000.-YTL)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3.000.000.000</w:t>
            </w:r>
            <w:r>
              <w:rPr>
                <w:rFonts w:ascii="Arial" w:hAnsi="Arial"/>
                <w:sz w:val="16"/>
              </w:rPr>
              <w:t>.000.-TL            (3.000.000.-YTL)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22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22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22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</w:t>
            </w:r>
            <w:r>
              <w:rPr>
                <w:rFonts w:ascii="Arial" w:hAnsi="Arial"/>
                <w:i/>
                <w:sz w:val="16"/>
              </w:rPr>
              <w:t>bution of securities in the Company's portfolio  as of 31.12.2004 is shown below.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1559"/>
        <w:gridCol w:w="1701"/>
        <w:gridCol w:w="1134"/>
        <w:gridCol w:w="1019"/>
        <w:gridCol w:w="19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0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İNFO MENKUL KIYMETLER YATIRIM ORTAKLIĞI A.Ş.'NİN 31.12.2004 TARİHLİ PORTFÖY DEĞER 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</w:t>
            </w:r>
            <w:r>
              <w:rPr>
                <w:rFonts w:ascii="Arial" w:hAnsi="Arial"/>
                <w:b/>
                <w:sz w:val="16"/>
              </w:rPr>
              <w:t xml:space="preserve"> Maliyeti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Değer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  <w:tc>
          <w:tcPr>
            <w:tcW w:w="19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  <w:tc>
          <w:tcPr>
            <w:tcW w:w="19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6" w:type="dxa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SENETLERİ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588,000</w:t>
            </w:r>
          </w:p>
        </w:tc>
        <w:tc>
          <w:tcPr>
            <w:tcW w:w="1559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1,495,165</w:t>
            </w:r>
          </w:p>
        </w:tc>
        <w:tc>
          <w:tcPr>
            <w:tcW w:w="1701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1,398,607</w:t>
            </w:r>
          </w:p>
        </w:tc>
        <w:tc>
          <w:tcPr>
            <w:tcW w:w="1134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19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45.22</w:t>
            </w:r>
          </w:p>
        </w:tc>
        <w:tc>
          <w:tcPr>
            <w:tcW w:w="196" w:type="dxa"/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KİMYA,PETROL,KAUÇUK VE PL</w:t>
            </w:r>
            <w:r>
              <w:rPr>
                <w:rFonts w:ascii="Arial" w:hAnsi="Arial"/>
                <w:b/>
                <w:sz w:val="16"/>
              </w:rPr>
              <w:t xml:space="preserve">ASTİK ÜRÜNLER </w:t>
            </w:r>
            <w:r>
              <w:rPr>
                <w:rFonts w:ascii="Arial" w:hAnsi="Arial"/>
                <w:i/>
                <w:sz w:val="16"/>
              </w:rPr>
              <w:t xml:space="preserve"> (CHEMICAL, PETROLEUM, PLASTIC)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423,273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406,125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29.04</w:t>
            </w:r>
          </w:p>
        </w:tc>
        <w:tc>
          <w:tcPr>
            <w:tcW w:w="101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13.13</w:t>
            </w:r>
          </w:p>
        </w:tc>
        <w:tc>
          <w:tcPr>
            <w:tcW w:w="196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7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256,802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244,125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17.45</w:t>
            </w:r>
          </w:p>
        </w:tc>
        <w:tc>
          <w:tcPr>
            <w:tcW w:w="101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</w:t>
            </w:r>
          </w:p>
        </w:tc>
        <w:tc>
          <w:tcPr>
            <w:tcW w:w="196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7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PETKİM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166,471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</w:t>
            </w:r>
          </w:p>
        </w:tc>
        <w:tc>
          <w:tcPr>
            <w:tcW w:w="1019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</w:t>
            </w:r>
          </w:p>
        </w:tc>
        <w:tc>
          <w:tcPr>
            <w:tcW w:w="196" w:type="dxa"/>
            <w:tcBorders>
              <w:top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HOLDING AND INVESTMENT)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200,000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248,340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217,600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5.56</w:t>
            </w:r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7.04</w:t>
            </w:r>
          </w:p>
        </w:tc>
        <w:tc>
          <w:tcPr>
            <w:tcW w:w="196" w:type="dxa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 HOLDİNG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248,340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217,600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İMKB ULUSAL – HİZMETLER 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(ISE NATIONAL – SERVICES)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86,800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83,872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FENERBAHÇE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83,872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 BANKS)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31,462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DENİZBANK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EŞYA, MAKİNA ve GEREÇ YAPIM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METAL PRODUCTS, MACHINERY)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541,039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497,930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35.60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OTOMOBİL FABRİKALARI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219,200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302,239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278,730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</w:t>
            </w:r>
            <w:r>
              <w:rPr>
                <w:rFonts w:ascii="Arial" w:hAnsi="Arial"/>
                <w:b/>
                <w:sz w:val="16"/>
              </w:rPr>
              <w:t>RET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WHOLESALE AND RETAIL TRADE)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164,250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161,600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BORÇLANMA SENETLERİ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(GOVERNMENT DEBT SECURITIES)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1,400,000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1,284,785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1,326,441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42.89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TRT140606T10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302,970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311,480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</w:t>
            </w: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TRT150306T12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198,060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206,996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TRT150306T12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413,992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TRT120406T14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372,155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 DİĞER</w:t>
            </w:r>
          </w:p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11.88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BPP TAKASBANK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2,355,000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3,146,950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3,092,599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 (Current Assets)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999,869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   (Cash)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657,749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BANKALAR  (Banks)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342,120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TAKASBA</w:t>
            </w:r>
            <w:r>
              <w:rPr>
                <w:rFonts w:ascii="Arial" w:hAnsi="Arial"/>
                <w:sz w:val="16"/>
              </w:rPr>
              <w:t>NK PARA PİY.  (Takasbank Money Market)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(Total Portfolio Value)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3,093,599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 (Receivables)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(Other Assets)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  (Debts)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(Tota</w:t>
            </w:r>
            <w:r>
              <w:rPr>
                <w:rFonts w:ascii="Arial" w:hAnsi="Arial"/>
                <w:b/>
                <w:sz w:val="16"/>
              </w:rPr>
              <w:t>l Value)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3,132,232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(Total Value/Total Number of Shares)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Number of Shares)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2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2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2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 MENKUL DEĞERLER A.Ş.</w:t>
            </w:r>
          </w:p>
        </w:tc>
        <w:tc>
          <w:tcPr>
            <w:tcW w:w="1892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2410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</w:tc>
        <w:tc>
          <w:tcPr>
            <w:tcW w:w="1892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2410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2410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</w:t>
            </w:r>
          </w:p>
        </w:tc>
        <w:tc>
          <w:tcPr>
            <w:tcW w:w="1892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2410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(SAYI BİLİNMİYOR)</w:t>
            </w:r>
          </w:p>
        </w:tc>
        <w:tc>
          <w:tcPr>
            <w:tcW w:w="1892" w:type="dxa"/>
          </w:tcPr>
          <w:p w:rsidR="00000000" w:rsidRDefault="004227ED">
            <w:pPr>
              <w:ind w:right="253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2.972.000</w:t>
            </w:r>
          </w:p>
        </w:tc>
        <w:tc>
          <w:tcPr>
            <w:tcW w:w="2410" w:type="dxa"/>
          </w:tcPr>
          <w:p w:rsidR="00000000" w:rsidRDefault="004227ED">
            <w:pPr>
              <w:ind w:right="673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       99,06</w:t>
            </w:r>
          </w:p>
        </w:tc>
      </w:tr>
    </w:tbl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MENKUL DEĞERLER A.Ş. 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126" w:type="dxa"/>
          </w:tcPr>
          <w:p w:rsidR="00000000" w:rsidRDefault="004227ED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1- DİĞER-HALKA AÇIK </w:t>
            </w:r>
          </w:p>
        </w:tc>
        <w:tc>
          <w:tcPr>
            <w:tcW w:w="2268" w:type="dxa"/>
          </w:tcPr>
          <w:p w:rsidR="00000000" w:rsidRDefault="004227ED">
            <w:pPr>
              <w:ind w:right="253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4227ED">
            <w:pPr>
              <w:ind w:right="673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(1)</w:t>
            </w:r>
          </w:p>
        </w:tc>
        <w:tc>
          <w:tcPr>
            <w:tcW w:w="2268" w:type="dxa"/>
          </w:tcPr>
          <w:p w:rsidR="00000000" w:rsidRDefault="004227ED">
            <w:pPr>
              <w:ind w:right="253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2.992.000</w:t>
            </w:r>
          </w:p>
        </w:tc>
        <w:tc>
          <w:tcPr>
            <w:tcW w:w="2126" w:type="dxa"/>
          </w:tcPr>
          <w:p w:rsidR="00000000" w:rsidRDefault="004227ED">
            <w:pPr>
              <w:ind w:right="673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99,72</w:t>
            </w:r>
          </w:p>
        </w:tc>
      </w:tr>
    </w:tbl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</w:t>
      </w:r>
      <w:r>
        <w:rPr>
          <w:rFonts w:ascii="Arial" w:hAnsi="Arial"/>
          <w:sz w:val="16"/>
        </w:rPr>
        <w:t xml:space="preserve"> (ayrı ayrı), </w:t>
      </w: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52"/>
        <w:gridCol w:w="221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  <w:gridSpan w:val="2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ALP-Yönt. Krl.Bşk.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ALP-Yönt.Krl Üyesi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BAŞ-Yönt Krl. Üyesi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</w:p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  <w:tc>
          <w:tcPr>
            <w:tcW w:w="2216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985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(2)</w:t>
            </w:r>
          </w:p>
        </w:tc>
        <w:tc>
          <w:tcPr>
            <w:tcW w:w="2216" w:type="dxa"/>
          </w:tcPr>
          <w:p w:rsidR="00000000" w:rsidRDefault="004227ED">
            <w:pPr>
              <w:ind w:right="395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6.0</w:t>
            </w:r>
            <w:r>
              <w:rPr>
                <w:rFonts w:ascii="Arial" w:hAnsi="Arial"/>
                <w:b/>
                <w:snapToGrid w:val="0"/>
                <w:sz w:val="16"/>
              </w:rPr>
              <w:t>00</w:t>
            </w:r>
          </w:p>
        </w:tc>
        <w:tc>
          <w:tcPr>
            <w:tcW w:w="1985" w:type="dxa"/>
          </w:tcPr>
          <w:p w:rsidR="00000000" w:rsidRDefault="004227ED">
            <w:pPr>
              <w:ind w:right="532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0,18</w:t>
            </w:r>
          </w:p>
        </w:tc>
      </w:tr>
    </w:tbl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 YOKTUR </w:t>
      </w: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YOKTUR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4227ED">
            <w:pPr>
              <w:ind w:right="67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lastRenderedPageBreak/>
              <w:t>TOPLAM (3)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4227ED">
            <w:pPr>
              <w:ind w:right="673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0,0</w:t>
            </w:r>
          </w:p>
        </w:tc>
      </w:tr>
    </w:tbl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126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(4)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6,000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0,18</w:t>
            </w:r>
          </w:p>
        </w:tc>
      </w:tr>
    </w:tbl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</w:t>
      </w:r>
      <w:r>
        <w:rPr>
          <w:rFonts w:ascii="Arial" w:hAnsi="Arial"/>
          <w:sz w:val="16"/>
        </w:rPr>
        <w:t>lar ile aynı holding, grup yada topluluk bünyesinde bulunan tüzel kişi ortaklar ( ayrı ayrı 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 MENKUL DEĞERLER A.Ş.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20.000</w:t>
            </w:r>
          </w:p>
        </w:tc>
        <w:tc>
          <w:tcPr>
            <w:tcW w:w="2126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</w:t>
            </w:r>
            <w:r>
              <w:rPr>
                <w:rFonts w:ascii="Arial" w:hAnsi="Arial"/>
                <w:sz w:val="16"/>
              </w:rPr>
              <w:t>AFA BAŞ</w:t>
            </w:r>
          </w:p>
          <w:p w:rsidR="00000000" w:rsidRDefault="004227ED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422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</w:tc>
        <w:tc>
          <w:tcPr>
            <w:tcW w:w="2126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422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(5)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28,000</w:t>
            </w:r>
          </w:p>
        </w:tc>
        <w:tc>
          <w:tcPr>
            <w:tcW w:w="2126" w:type="dxa"/>
          </w:tcPr>
          <w:p w:rsidR="00000000" w:rsidRDefault="004227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0,94</w:t>
            </w:r>
          </w:p>
        </w:tc>
      </w:tr>
    </w:tbl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227ED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422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22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HALKA AÇIK-Bilinmiyor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4227ED">
            <w:pPr>
              <w:ind w:right="532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</w:t>
            </w:r>
            <w:r>
              <w:rPr>
                <w:rFonts w:ascii="Arial" w:hAnsi="Arial"/>
                <w:snapToGrid w:val="0"/>
                <w:sz w:val="16"/>
              </w:rPr>
              <w:t>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(6)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4227ED">
            <w:pPr>
              <w:ind w:right="532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99,06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2126" w:type="dxa"/>
          </w:tcPr>
          <w:p w:rsidR="00000000" w:rsidRDefault="004227ED">
            <w:pPr>
              <w:ind w:right="532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4227ED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(1+2+3+4+5+ DİĞER ORTAKLAR)</w:t>
            </w:r>
          </w:p>
        </w:tc>
        <w:tc>
          <w:tcPr>
            <w:tcW w:w="2268" w:type="dxa"/>
          </w:tcPr>
          <w:p w:rsidR="00000000" w:rsidRDefault="004227ED">
            <w:pPr>
              <w:ind w:right="395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3.000.000.</w:t>
            </w:r>
          </w:p>
        </w:tc>
        <w:tc>
          <w:tcPr>
            <w:tcW w:w="2126" w:type="dxa"/>
          </w:tcPr>
          <w:p w:rsidR="00000000" w:rsidRDefault="004227ED">
            <w:pPr>
              <w:ind w:right="532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100,0</w:t>
            </w:r>
          </w:p>
        </w:tc>
      </w:tr>
    </w:tbl>
    <w:p w:rsidR="00000000" w:rsidRDefault="004227ED">
      <w:pPr>
        <w:jc w:val="both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27ED">
      <w:pPr>
        <w:ind w:right="-1231"/>
        <w:rPr>
          <w:rFonts w:ascii="Arial" w:hAnsi="Arial"/>
          <w:sz w:val="16"/>
        </w:rPr>
      </w:pPr>
    </w:p>
    <w:p w:rsidR="00000000" w:rsidRDefault="004227ED">
      <w:pPr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İSTANBUL MENKUL KIYMETLER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 Nisan 2005</w:t>
      </w: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BORSASI BAŞKANLIĞI’NA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Ref: 1579</w:t>
      </w: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İlgi: 25 Mart 2005 tarih ve 1929 sayılı Genel Mektubunuz.</w:t>
      </w: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jc w:val="both"/>
        <w:rPr>
          <w:rFonts w:ascii="Arial" w:hAnsi="Arial"/>
          <w:sz w:val="16"/>
        </w:rPr>
      </w:pPr>
    </w:p>
    <w:p w:rsidR="00000000" w:rsidRDefault="004227ED">
      <w:pPr>
        <w:jc w:val="both"/>
        <w:rPr>
          <w:rFonts w:ascii="Arial" w:hAnsi="Arial"/>
          <w:sz w:val="16"/>
        </w:rPr>
      </w:pPr>
    </w:p>
    <w:p w:rsidR="00000000" w:rsidRDefault="004227E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İlgi’de kayıtlı Genel Mektubunuz ile istemiş olduğunuz bilgilerin yazıcı çıktısı Ek’te sunulmuş, elektronik dosyası ise elektronik posta (e-mail) ile Genel Mektubunuz ekinde belirtilen elektronik posta (e-mail) adresine 11 Nisan 2005 tarihinde yollanmı</w:t>
      </w:r>
      <w:r>
        <w:rPr>
          <w:rFonts w:ascii="Arial" w:hAnsi="Arial"/>
          <w:sz w:val="16"/>
        </w:rPr>
        <w:t>ştır. Elektronik posta (e-mail) ile yollanan dosyadaki bilgiler ile ilişik yazıcı çıktısında yer alan bilgiler arasında herhangi bir farklılık bulunmadığını, söz konusu bilgilerin daha önce mevzuat hükümleri çerçevesinde kamuya açıklanan bilgilerden oluştu</w:t>
      </w:r>
      <w:r>
        <w:rPr>
          <w:rFonts w:ascii="Arial" w:hAnsi="Arial"/>
          <w:sz w:val="16"/>
        </w:rPr>
        <w:t>ğunu, defter, kayıt ve belgelerimize uygun olduğunu,  tarafımızca hazırlanan ve elektronik posta (e-mail) ile yollanan, Borsanızın İnternet sitesinde aynen yayınlanacak manyetik dosyadaki her türlü bilginin doğruluğundan Şirketimizin sorumlu olduğunu beyan</w:t>
      </w:r>
      <w:r>
        <w:rPr>
          <w:rFonts w:ascii="Arial" w:hAnsi="Arial"/>
          <w:sz w:val="16"/>
        </w:rPr>
        <w:t xml:space="preserve"> ve taahhüt ederiz. </w:t>
      </w: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Saygılarımızla,</w:t>
      </w: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İNFO MENKUL KIYMETLER YATIRIM ORTAKLIĞI A.Ş.</w:t>
      </w: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</w:p>
    <w:p w:rsidR="00000000" w:rsidRDefault="00422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Ayhan ÖZTÜRK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Namık Kemal KORKMAZ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Muhasebe Müdürü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227E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7ED"/>
    <w:rsid w:val="0042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DF42-3122-404C-BD23-C2F1673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2005-04-08T22:19:00Z</cp:lastPrinted>
  <dcterms:created xsi:type="dcterms:W3CDTF">2022-09-01T21:34:00Z</dcterms:created>
  <dcterms:modified xsi:type="dcterms:W3CDTF">2022-09-01T21:34:00Z</dcterms:modified>
</cp:coreProperties>
</file>