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391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ÖZ FİNANS FACTORİNG HİZMETLERİ A.Ş.</w:t>
            </w:r>
          </w:p>
        </w:tc>
      </w:tr>
    </w:tbl>
    <w:p w:rsidR="00000000" w:rsidRDefault="009B39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05/06/1992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</w:t>
            </w:r>
            <w:r>
              <w:rPr>
                <w:rFonts w:ascii="Arial" w:hAnsi="Arial"/>
                <w:b/>
                <w:sz w:val="16"/>
              </w:rPr>
              <w:t>ger)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0212 281 21 06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</w:t>
            </w:r>
            <w:r>
              <w:rPr>
                <w:rFonts w:ascii="Arial" w:hAnsi="Arial"/>
                <w:b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7.500.000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</w:t>
            </w:r>
            <w:r>
              <w:rPr>
                <w:rFonts w:ascii="Arial" w:hAnsi="Arial"/>
                <w:b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31.12.2004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</w:t>
            </w:r>
            <w:r>
              <w:rPr>
                <w:rFonts w:ascii="Arial" w:hAnsi="Arial"/>
                <w:i/>
                <w:sz w:val="16"/>
              </w:rPr>
              <w:t>distribution of the Company’s turnover as of 31.12.2004 is shown below.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B391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B391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B391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B391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9B391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50,33</w:t>
            </w: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1.771.995,61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MEDYA </w:t>
            </w:r>
            <w:r>
              <w:rPr>
                <w:rFonts w:ascii="Arial" w:hAnsi="Arial"/>
                <w:i/>
                <w:sz w:val="16"/>
              </w:rPr>
              <w:t>(MEDIA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31,47</w:t>
            </w: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1.108.021,43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  <w:r>
              <w:rPr>
                <w:rFonts w:ascii="Arial" w:hAnsi="Arial"/>
                <w:i/>
                <w:sz w:val="16"/>
              </w:rPr>
              <w:t>(OTOMOTIVE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17,15</w:t>
            </w: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603.934,72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</w:t>
            </w:r>
            <w:r>
              <w:rPr>
                <w:rFonts w:ascii="Arial" w:hAnsi="Arial"/>
                <w:sz w:val="16"/>
              </w:rPr>
              <w:t>RİK (</w:t>
            </w:r>
            <w:r>
              <w:rPr>
                <w:rFonts w:ascii="Arial" w:hAnsi="Arial"/>
                <w:i/>
                <w:sz w:val="16"/>
              </w:rPr>
              <w:t>ELECTRICITY)</w:t>
            </w: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9B3916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9B3916">
            <w:pPr>
              <w:ind w:right="34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759" w:type="dxa"/>
          </w:tcPr>
          <w:p w:rsidR="00000000" w:rsidRDefault="009B3916">
            <w:pPr>
              <w:ind w:right="4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3.521.101,76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39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B39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FİNANS FİNANSAL KİRALAMA A.Ş.</w:t>
            </w:r>
          </w:p>
        </w:tc>
        <w:tc>
          <w:tcPr>
            <w:tcW w:w="2299" w:type="dxa"/>
          </w:tcPr>
          <w:p w:rsidR="00000000" w:rsidRDefault="009B39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3.712.500  YTL</w:t>
            </w:r>
          </w:p>
        </w:tc>
        <w:tc>
          <w:tcPr>
            <w:tcW w:w="2343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39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39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B39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B39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B39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B391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ÖZDERİCİ HOLDİNG A.Ş.</w:t>
            </w: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2.060.849,14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UĞUR ÖZDERİCİ (YÖN. KUR.BAŞK.)</w:t>
            </w: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30.000,00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HMET ÖZDERİCİ (YÖN.KUR.BAŞK.VEKİLİ)</w:t>
            </w: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30.000,00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MERAL ÖZDERİCİ</w:t>
            </w: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177.354,00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701.796,86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B39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9B39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3.000.000,00</w:t>
            </w:r>
          </w:p>
        </w:tc>
        <w:tc>
          <w:tcPr>
            <w:tcW w:w="2410" w:type="dxa"/>
          </w:tcPr>
          <w:p w:rsidR="00000000" w:rsidRDefault="009B391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B391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3916"/>
    <w:rsid w:val="009B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E2F50-04AC-4409-AB8F-9011EC3C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