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5C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SODA SANAYİİ A.Ş.</w:t>
            </w:r>
          </w:p>
        </w:tc>
      </w:tr>
    </w:tbl>
    <w:p w:rsidR="00000000" w:rsidRDefault="000E5C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</w:t>
            </w:r>
            <w:r>
              <w:rPr>
                <w:rFonts w:ascii="Arial" w:hAnsi="Arial"/>
                <w:sz w:val="16"/>
              </w:rPr>
              <w:t>ANKROM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(TANK</w:t>
            </w:r>
            <w:r>
              <w:rPr>
                <w:rFonts w:ascii="Arial" w:hAnsi="Arial"/>
                <w:sz w:val="16"/>
              </w:rPr>
              <w:t>ROM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 TOWERS TOWER-3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KANPARA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İNCİ YILMAZ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GÖKÇE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SEVİM YILMAZ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ERSOY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212 350 58 60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 MEMUR, 472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 CIVIL SERVANT, 472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PETROLEUM OIL CHEMICAL RUBBER WORKERS TRADE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62.6</w:t>
            </w:r>
            <w:r>
              <w:rPr>
                <w:rFonts w:ascii="Arial" w:hAnsi="Arial"/>
                <w:sz w:val="16"/>
              </w:rPr>
              <w:t>30.000.-YTL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İMKB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ISE NATIONAL MARKET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164"/>
        <w:gridCol w:w="254"/>
        <w:gridCol w:w="427"/>
        <w:gridCol w:w="391"/>
        <w:gridCol w:w="32"/>
        <w:gridCol w:w="1135"/>
        <w:gridCol w:w="851"/>
        <w:gridCol w:w="1276"/>
        <w:gridCol w:w="11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  <w:gridSpan w:val="2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  <w:gridSpan w:val="6"/>
          </w:tcPr>
          <w:p w:rsidR="00000000" w:rsidRDefault="000E5CDA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The production figures of the Company for the last t</w:t>
            </w:r>
            <w:r>
              <w:rPr>
                <w:rFonts w:ascii="Arial" w:hAnsi="Arial"/>
                <w:i/>
                <w:sz w:val="16"/>
              </w:rPr>
              <w:t>wo</w:t>
            </w:r>
          </w:p>
          <w:p w:rsidR="00000000" w:rsidRDefault="000E5CDA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years are  shown below.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Karbonat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8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Bikromat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</w:t>
            </w:r>
            <w:r>
              <w:rPr>
                <w:rFonts w:ascii="Arial" w:hAnsi="Arial"/>
                <w:b/>
                <w:sz w:val="16"/>
              </w:rPr>
              <w:t>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722.382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101.700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22.065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47.100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717.472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91.828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25.665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48.021</w:t>
            </w:r>
          </w:p>
        </w:tc>
        <w:tc>
          <w:tcPr>
            <w:tcW w:w="1135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Tankrom 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</w:t>
            </w:r>
            <w:r>
              <w:rPr>
                <w:rFonts w:ascii="Arial" w:hAnsi="Arial"/>
                <w:b/>
                <w:sz w:val="16"/>
              </w:rPr>
              <w:t xml:space="preserve"> M (Ton)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46.160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62.107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94</w:t>
            </w:r>
          </w:p>
        </w:tc>
        <w:tc>
          <w:tcPr>
            <w:tcW w:w="1135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57</w:t>
            </w:r>
          </w:p>
        </w:tc>
        <w:tc>
          <w:tcPr>
            <w:tcW w:w="851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9.779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46.851</w:t>
            </w:r>
          </w:p>
        </w:tc>
        <w:tc>
          <w:tcPr>
            <w:tcW w:w="113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1418" w:type="dxa"/>
            <w:gridSpan w:val="2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57.632</w:t>
            </w:r>
          </w:p>
        </w:tc>
        <w:tc>
          <w:tcPr>
            <w:tcW w:w="850" w:type="dxa"/>
            <w:gridSpan w:val="3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118</w:t>
            </w:r>
          </w:p>
        </w:tc>
        <w:tc>
          <w:tcPr>
            <w:tcW w:w="1135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85</w:t>
            </w:r>
          </w:p>
        </w:tc>
        <w:tc>
          <w:tcPr>
            <w:tcW w:w="851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8.517   </w:t>
            </w:r>
          </w:p>
        </w:tc>
        <w:tc>
          <w:tcPr>
            <w:tcW w:w="1135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E5C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675"/>
        <w:gridCol w:w="1134"/>
        <w:gridCol w:w="1134"/>
        <w:gridCol w:w="993"/>
        <w:gridCol w:w="311"/>
        <w:gridCol w:w="823"/>
        <w:gridCol w:w="311"/>
        <w:gridCol w:w="681"/>
        <w:gridCol w:w="992"/>
        <w:gridCol w:w="1134"/>
        <w:gridCol w:w="1134"/>
        <w:gridCol w:w="306"/>
        <w:gridCol w:w="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Sodyum </w:t>
            </w:r>
            <w:r>
              <w:rPr>
                <w:rFonts w:ascii="Arial" w:hAnsi="Arial"/>
                <w:b/>
                <w:sz w:val="16"/>
              </w:rPr>
              <w:t>Bikarbonat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ind w:right="-2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Sodium </w:t>
            </w:r>
            <w:r>
              <w:rPr>
                <w:rFonts w:ascii="Arial" w:hAnsi="Arial"/>
                <w:b/>
                <w:sz w:val="16"/>
              </w:rPr>
              <w:t>Sulphide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</w:t>
            </w:r>
          </w:p>
          <w:p w:rsidR="00000000" w:rsidRDefault="000E5CD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911.083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104.300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25.356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11.299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4.937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47.433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59.665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51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914.839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90.713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24.400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12.257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44.128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50.896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E5CD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8.733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348" w:type="dxa"/>
            <w:gridSpan w:val="14"/>
          </w:tcPr>
          <w:p w:rsidR="00000000" w:rsidRDefault="000E5CDA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686" w:type="dxa"/>
          <w:cantSplit/>
        </w:trPr>
        <w:tc>
          <w:tcPr>
            <w:tcW w:w="4247" w:type="dxa"/>
            <w:gridSpan w:val="5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47" w:type="dxa"/>
            <w:gridSpan w:val="5"/>
          </w:tcPr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2004 *</w:t>
            </w:r>
          </w:p>
        </w:tc>
        <w:tc>
          <w:tcPr>
            <w:tcW w:w="1810" w:type="dxa"/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67.859.850,03</w:t>
            </w:r>
          </w:p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49.988.305</w:t>
            </w:r>
          </w:p>
        </w:tc>
        <w:tc>
          <w:tcPr>
            <w:tcW w:w="2127" w:type="dxa"/>
          </w:tcPr>
          <w:p w:rsidR="00000000" w:rsidRDefault="000E5C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8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137.279.741,03</w:t>
            </w:r>
          </w:p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96.634.470</w:t>
            </w:r>
          </w:p>
        </w:tc>
        <w:tc>
          <w:tcPr>
            <w:tcW w:w="2268" w:type="dxa"/>
          </w:tcPr>
          <w:p w:rsidR="00000000" w:rsidRDefault="000E5C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2003 *</w:t>
            </w:r>
          </w:p>
        </w:tc>
        <w:tc>
          <w:tcPr>
            <w:tcW w:w="1810" w:type="dxa"/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69.944.201,53</w:t>
            </w:r>
          </w:p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46.139.421</w:t>
            </w:r>
          </w:p>
        </w:tc>
        <w:tc>
          <w:tcPr>
            <w:tcW w:w="2127" w:type="dxa"/>
          </w:tcPr>
          <w:p w:rsidR="00000000" w:rsidRDefault="000E5C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84" w:type="dxa"/>
          </w:tcPr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127.096.499,</w:t>
            </w:r>
            <w:r>
              <w:rPr>
                <w:rFonts w:ascii="Arial" w:hAnsi="Arial"/>
                <w:sz w:val="16"/>
              </w:rPr>
              <w:t>33</w:t>
            </w:r>
          </w:p>
          <w:p w:rsidR="00000000" w:rsidRDefault="000E5C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84.840.702</w:t>
            </w:r>
          </w:p>
        </w:tc>
        <w:tc>
          <w:tcPr>
            <w:tcW w:w="2268" w:type="dxa"/>
          </w:tcPr>
          <w:p w:rsidR="00000000" w:rsidRDefault="000E5C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46</w:t>
            </w:r>
          </w:p>
          <w:p w:rsidR="00000000" w:rsidRDefault="000E5CD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E5CDA">
      <w:pPr>
        <w:rPr>
          <w:rFonts w:ascii="Arial" w:hAnsi="Arial"/>
          <w:b/>
          <w:sz w:val="16"/>
        </w:rPr>
      </w:pPr>
    </w:p>
    <w:p w:rsidR="00000000" w:rsidRDefault="000E5CDA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</w:t>
      </w:r>
      <w:r>
        <w:rPr>
          <w:rFonts w:ascii="Arial" w:hAnsi="Arial"/>
          <w:sz w:val="16"/>
        </w:rPr>
        <w:t>Satılan Malın Maliyeti İçindeki (%) Payı: 28’dur.</w:t>
      </w:r>
    </w:p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552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pStyle w:val="Heading5"/>
              <w:jc w:val="center"/>
            </w:pPr>
            <w:r>
              <w:t>Devam Eden</w:t>
            </w:r>
            <w:r>
              <w:t xml:space="preserve"> Yatırımlar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0E5CDA">
            <w:pPr>
              <w:pStyle w:val="Heading6"/>
            </w:pPr>
            <w:r>
              <w:t>Estimated Ending 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Modernizasyon </w:t>
            </w:r>
          </w:p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2004-Aralık 2005</w:t>
            </w:r>
          </w:p>
          <w:p w:rsidR="00000000" w:rsidRDefault="000E5CDA">
            <w:pPr>
              <w:ind w:right="3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1.717.</w:t>
            </w:r>
            <w:r>
              <w:rPr>
                <w:rFonts w:ascii="Arial" w:hAnsi="Arial"/>
                <w:sz w:val="16"/>
              </w:rPr>
              <w:t>228,00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0E5CD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E5CD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E5CD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"/>
        <w:gridCol w:w="376"/>
        <w:gridCol w:w="4020"/>
        <w:gridCol w:w="432"/>
        <w:gridCol w:w="284"/>
        <w:gridCol w:w="241"/>
        <w:gridCol w:w="467"/>
        <w:gridCol w:w="667"/>
        <w:gridCol w:w="2367"/>
        <w:gridCol w:w="1024"/>
        <w:gridCol w:w="28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" w:type="dxa"/>
          <w:wAfter w:w="289" w:type="dxa"/>
          <w:cantSplit/>
        </w:trPr>
        <w:tc>
          <w:tcPr>
            <w:tcW w:w="4828" w:type="dxa"/>
            <w:gridSpan w:val="3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92" w:type="dxa"/>
            <w:gridSpan w:val="3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8" w:type="dxa"/>
            <w:gridSpan w:val="3"/>
          </w:tcPr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  <w:p w:rsidR="00000000" w:rsidRDefault="000E5CD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</w:p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ticipations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1-DENİZLİ CAM SANAYİİ  VE TİCARET A.Ş.(*)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973.043,00.-YTL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16,22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2-CAMİŞ ELEKTRİK ÜRETİMİ  A.Ş.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24.901,00.-YTL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3-OXYVİT KİMYA SANAYİİ  VE TİCARET A.Ş.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left="112" w:right="254" w:hanging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1.474.000,00.-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44</w:t>
            </w:r>
          </w:p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4-PAŞABAHÇE CAM SANAYİİ VE TİCARET A.Ş.(**)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9.510.835,00-YTL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5-SOLVAY ŞİŞECAM HOLDİNG A.G. (75.920.- EURO)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8.024.474,00.-YTL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6-ŞİŞECAM BULGARİA LTD. (5.000.-BGL)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7-SISECAM SHANGHAI TRADING CO.(200.000 USD)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5C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277.400,00.-YTL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E5CDA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1313" w:type="dxa"/>
          <w:cantSplit/>
          <w:trHeight w:val="250"/>
        </w:trPr>
        <w:tc>
          <w:tcPr>
            <w:tcW w:w="8903" w:type="dxa"/>
            <w:gridSpan w:val="9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(*)Denizli Cam San. Ve Tic. A.Ş. iştirak payı nominal değeridir.Kayıtlı değer ise 1.008.478,00.-YTL dir.</w:t>
            </w:r>
          </w:p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(**)Paşabahçe Cam Sanayii ve Ticaret A.Ş. iştirak p</w:t>
            </w:r>
            <w:r>
              <w:rPr>
                <w:rFonts w:ascii="Arial" w:hAnsi="Arial"/>
                <w:sz w:val="16"/>
              </w:rPr>
              <w:t>ayı nominal değeridir.Kayıtlı değer ise 19.161.561,00-YTLdir.</w:t>
            </w:r>
          </w:p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cantSplit/>
        </w:trPr>
        <w:tc>
          <w:tcPr>
            <w:tcW w:w="5112" w:type="dxa"/>
            <w:gridSpan w:val="4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0E5C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14" w:type="dxa"/>
            <w:gridSpan w:val="5"/>
          </w:tcPr>
          <w:p w:rsidR="00000000" w:rsidRDefault="000E5CDA">
            <w:pPr>
              <w:tabs>
                <w:tab w:val="left" w:pos="742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E5CDA">
      <w:pPr>
        <w:rPr>
          <w:rFonts w:ascii="Arial" w:hAnsi="Arial"/>
          <w:sz w:val="16"/>
        </w:rPr>
      </w:pPr>
    </w:p>
    <w:p w:rsidR="00000000" w:rsidRDefault="000E5C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9"/>
        <w:gridCol w:w="270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700" w:type="dxa"/>
          </w:tcPr>
          <w:p w:rsidR="00000000" w:rsidRDefault="000E5C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843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0E5CD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FAB.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31.450.662,00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SANAYİİ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8.920.000,00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8.328,00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SİG. ŞİRK.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12.271,00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</w:t>
            </w:r>
            <w:r>
              <w:rPr>
                <w:rFonts w:ascii="Arial" w:hAnsi="Arial"/>
                <w:sz w:val="16"/>
              </w:rPr>
              <w:t xml:space="preserve"> SAN.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12.178.919,00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23.913,00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613.709,00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2700" w:type="dxa"/>
            <w:vAlign w:val="bottom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9.422.198,00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0E5C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</w:t>
            </w:r>
          </w:p>
        </w:tc>
        <w:tc>
          <w:tcPr>
            <w:tcW w:w="2700" w:type="dxa"/>
          </w:tcPr>
          <w:p w:rsidR="00000000" w:rsidRDefault="000E5CDA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62.630.000,00</w:t>
            </w:r>
          </w:p>
        </w:tc>
        <w:tc>
          <w:tcPr>
            <w:tcW w:w="1843" w:type="dxa"/>
          </w:tcPr>
          <w:p w:rsidR="00000000" w:rsidRDefault="000E5CDA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100,00</w:t>
            </w:r>
          </w:p>
        </w:tc>
      </w:tr>
    </w:tbl>
    <w:p w:rsidR="00000000" w:rsidRDefault="000E5CDA">
      <w:pPr>
        <w:jc w:val="both"/>
        <w:rPr>
          <w:rFonts w:ascii="Arial" w:hAnsi="Arial"/>
          <w:sz w:val="16"/>
        </w:rPr>
      </w:pPr>
    </w:p>
    <w:p w:rsidR="00000000" w:rsidRDefault="000E5CD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352" w:bottom="567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D2D"/>
    <w:multiLevelType w:val="hybridMultilevel"/>
    <w:tmpl w:val="6C080A8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1E1DFD"/>
    <w:multiLevelType w:val="hybridMultilevel"/>
    <w:tmpl w:val="1E5AE0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192591">
    <w:abstractNumId w:val="1"/>
  </w:num>
  <w:num w:numId="2" w16cid:durableId="2328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5CDA"/>
    <w:rsid w:val="000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7A070-1100-4003-BC11-DB69828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framePr w:hSpace="141" w:wrap="around" w:vAnchor="text" w:hAnchor="margin" w:xAlign="center" w:y="-57"/>
      <w:jc w:val="right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2005-04-27T19:42:00Z</cp:lastPrinted>
  <dcterms:created xsi:type="dcterms:W3CDTF">2022-09-01T21:34:00Z</dcterms:created>
  <dcterms:modified xsi:type="dcterms:W3CDTF">2022-09-01T21:34:00Z</dcterms:modified>
</cp:coreProperties>
</file>