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462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ANEL TELEKOMÜNİKASYON ELEKTRONİK SİSTEMLERİ SANAYİ ve TİCARET A.Ş.</w:t>
            </w:r>
          </w:p>
        </w:tc>
      </w:tr>
    </w:tbl>
    <w:p w:rsidR="00000000" w:rsidRDefault="00A5462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07.01.2003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TRANSMİSYON SİSTEMLERİ MONTAJI, TRANSMİSYON  SİSTEMLERİ TEKNİK DESTEK HİZMETLER, ADSL SİSTEM MONTAJI, GSM BAZ İSTASYONU </w:t>
            </w:r>
            <w:r>
              <w:rPr>
                <w:rFonts w:ascii="Arial" w:hAnsi="Arial"/>
                <w:sz w:val="16"/>
              </w:rPr>
              <w:t>BAKIM HİZMETİ,SANTRAL MONTAJI, SANTRAL TEKNİK DESTEK HİZMETLERİ, NETWORK AĞLARI TEKNİK DESTEK HİZMETLERİ, KARTLI TELEFON TEKNİK DESTEK HİZMETLERİ, BASKILI DEVRE KARTI MONTAJI  -PCBA, CİHAZ BASKILI DEVRE KARTI ONARIMI, SANTRAL YEDEK TEÇHİZAT İMALATI, MUHTEL</w:t>
            </w:r>
            <w:r>
              <w:rPr>
                <w:rFonts w:ascii="Arial" w:hAnsi="Arial"/>
                <w:sz w:val="16"/>
              </w:rPr>
              <w:t>İF MONTAJ VE ATÖLYE İMALAT VE İŞÇİLİKLERİ, BENZİN POMPASI-YAZAR KASA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1.ESENŞEHİR ATATÜRK CAD.NO:4 YUKARI DUDULU/ÜMRANİYE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ÇE</w:t>
            </w:r>
            <w:r>
              <w:rPr>
                <w:rFonts w:ascii="Arial" w:hAnsi="Arial"/>
                <w:sz w:val="16"/>
              </w:rPr>
              <w:t>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A.MUKADDES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MAHİR KEREM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MERVE ŞİRİN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A.BÜLENT BATUKAN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İBRAHİM PAPAKER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0216 528 50 00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0216 420 75 60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anel@anel.com.tr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</w:t>
            </w:r>
            <w:r>
              <w:rPr>
                <w:rFonts w:ascii="Arial" w:hAnsi="Arial"/>
                <w:b/>
                <w:sz w:val="16"/>
              </w:rPr>
              <w:t>EŞME DÖNEMİ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</w:t>
            </w:r>
            <w:r>
              <w:rPr>
                <w:rFonts w:ascii="Arial" w:hAnsi="Arial"/>
                <w:b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22.000.000,00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 Montajı (Sistem)</w:t>
            </w:r>
          </w:p>
        </w:tc>
        <w:tc>
          <w:tcPr>
            <w:tcW w:w="806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 Sistemleri Teknik Destek Hizmetler (Saat)</w:t>
            </w:r>
          </w:p>
        </w:tc>
        <w:tc>
          <w:tcPr>
            <w:tcW w:w="81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 Sistem Montajı (Sistem)</w:t>
            </w:r>
          </w:p>
        </w:tc>
        <w:tc>
          <w:tcPr>
            <w:tcW w:w="81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Of Transmission Systems (System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Supports &amp; Services Of Transmission Systems (Hours)</w:t>
            </w:r>
          </w:p>
        </w:tc>
        <w:tc>
          <w:tcPr>
            <w:tcW w:w="81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Assembly Of ADSL System (System) </w:t>
            </w:r>
          </w:p>
        </w:tc>
        <w:tc>
          <w:tcPr>
            <w:tcW w:w="81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2.672</w:t>
            </w:r>
          </w:p>
        </w:tc>
        <w:tc>
          <w:tcPr>
            <w:tcW w:w="806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25.875</w:t>
            </w:r>
          </w:p>
        </w:tc>
        <w:tc>
          <w:tcPr>
            <w:tcW w:w="818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2.740</w:t>
            </w:r>
          </w:p>
        </w:tc>
        <w:tc>
          <w:tcPr>
            <w:tcW w:w="818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3.229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41.548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Gsm Baz İstasyonu Bakım Hizmeti (Adet*Ay)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Montajı (</w:t>
            </w:r>
            <w:r>
              <w:rPr>
                <w:rFonts w:ascii="Arial" w:hAnsi="Arial"/>
                <w:b/>
                <w:sz w:val="16"/>
              </w:rPr>
              <w:t>Hat)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Teknik Destek Hizmetleri (Port*Ay)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Maintenance Service For GSM Station (Quantity*Month)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Switchboard (Line)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Switchboard (Port*Month)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11.392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46.000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90.969.055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3.254 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985.940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4.158.862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Network Ağları Teknik Destek Hizmetleri (Saat)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Teknik Destek Hizmetleri (Saat)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Devre Kartı Montajı  -Pcba (Adet)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Networks (Hours)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Cardphone ( Hours)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Printed Circuit Board (Quantity)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76.556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19.575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11.475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233.163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Cihaz Baskılı Devre Kartı Onarımı (Adet)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Yedek Teçhizat İmalatı (Set)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Montaj Ve Atölye İmalat Ve İşçilikleri (Adet)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Repair F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 Printed Circuit Board (Quantity)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For Switchboard’s Spare Part (Set)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Miscellaneous Assembly And  Production &amp; Personnel Cost at Workplace (Quantity) 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56.521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1.156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322.753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67.335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75.078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Benzin Pompası-Yazar Kasa(Adet)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For Fuel Pump (Quantity)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1.012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462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5462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462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Not:31.12.2005 ve 31.12.2004 tarihleri itibari ile İ.Kapasite Kullanım oranı sırası ile %88 ve %92 olarak g</w:t>
      </w:r>
      <w:r>
        <w:rPr>
          <w:rFonts w:ascii="Arial" w:hAnsi="Arial"/>
          <w:sz w:val="16"/>
        </w:rPr>
        <w:t>erçekleşmiştir.</w:t>
      </w:r>
    </w:p>
    <w:p w:rsidR="00000000" w:rsidRDefault="00A5462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5462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</w:t>
            </w:r>
            <w:r>
              <w:rPr>
                <w:rFonts w:ascii="Arial" w:hAnsi="Arial"/>
                <w:b/>
                <w:sz w:val="16"/>
              </w:rPr>
              <w:t>stemleri Montajı (Sistem)</w:t>
            </w:r>
          </w:p>
        </w:tc>
        <w:tc>
          <w:tcPr>
            <w:tcW w:w="1990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 Sistemleri Teknik Destek Hizmetler (Saat)</w:t>
            </w:r>
          </w:p>
        </w:tc>
        <w:tc>
          <w:tcPr>
            <w:tcW w:w="1940" w:type="dxa"/>
            <w:gridSpan w:val="2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 Sistem Montajı (Sistem)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Assambly Of Transmission Systems (System)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Supports &amp; Services Of Transmission Systems (Hours)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Assambly Of ADSL System (System)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2.672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25.875</w:t>
            </w:r>
          </w:p>
        </w:tc>
        <w:tc>
          <w:tcPr>
            <w:tcW w:w="1940" w:type="dxa"/>
            <w:gridSpan w:val="2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3.229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41.548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1650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Gsm Baz İstasyonu Bakım Hizmeti (Adet*Ay)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Montajı (Hat)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Teknik Destek Hizmetleri (Port*Ay)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Maintenance Service For GSM Station (Quantity*Month)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Switchbo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ard (Line)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Switchboard (Port*Month)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11.392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46.000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90.969.055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3.254 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985.940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84.158.862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Network Ağları Teknik Destek Hizmetleri (Saat)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 (Adet)</w:t>
            </w: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Teknik Destek Hizmetleri (Saat)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nical Supports &amp; Services For Networks (Hours)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Of Cardphone (Quantity)</w:t>
            </w: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Cardphone ( Hours)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19.575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Devre Kartı Montajı  -Pcba (Adet)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Cihaz Baskılı Devre Kartı Onarımı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Yedek Teçhizat İmalatı 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Printed Circuit Board (Quantity)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Repair For Printed Circuit Board (Quantity)</w:t>
            </w: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For Switchboard’s Spare Part 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76.556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56.521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233.163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67.335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Montaj Ve Atö</w:t>
            </w:r>
            <w:r>
              <w:rPr>
                <w:rFonts w:ascii="Arial" w:hAnsi="Arial"/>
                <w:b/>
                <w:sz w:val="16"/>
              </w:rPr>
              <w:t>lye İmalat Ve İşçilikleri (Adet)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Benzin Pompası-Yazar Kasa(Adet)</w:t>
            </w: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Miscellaneous Assembly And  Pruduction &amp; Personnal Cost İn Workplace (Quantity) </w:t>
            </w:r>
          </w:p>
        </w:tc>
        <w:tc>
          <w:tcPr>
            <w:tcW w:w="199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For Fuel Pomp (Quantity)</w:t>
            </w:r>
          </w:p>
        </w:tc>
        <w:tc>
          <w:tcPr>
            <w:tcW w:w="1908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322.753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1.012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75.078</w:t>
            </w:r>
          </w:p>
        </w:tc>
        <w:tc>
          <w:tcPr>
            <w:tcW w:w="1990" w:type="dxa"/>
          </w:tcPr>
          <w:p w:rsidR="00000000" w:rsidRDefault="00A5462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54623">
            <w:pPr>
              <w:ind w:right="-140"/>
              <w:rPr>
                <w:rFonts w:ascii="Arial" w:hAnsi="Arial"/>
                <w:sz w:val="16"/>
              </w:rPr>
            </w:pP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</w:t>
            </w:r>
            <w:r>
              <w:rPr>
                <w:rFonts w:ascii="Arial" w:hAnsi="Arial"/>
                <w:b/>
                <w:sz w:val="16"/>
              </w:rPr>
              <w:t>at (YTL)</w:t>
            </w:r>
          </w:p>
        </w:tc>
        <w:tc>
          <w:tcPr>
            <w:tcW w:w="2269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5462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580.766,64</w:t>
            </w:r>
          </w:p>
          <w:p w:rsidR="00000000" w:rsidRDefault="00A5462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436.904,10</w:t>
            </w:r>
          </w:p>
        </w:tc>
        <w:tc>
          <w:tcPr>
            <w:tcW w:w="2410" w:type="dxa"/>
          </w:tcPr>
          <w:p w:rsidR="00000000" w:rsidRDefault="00A5462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</w:t>
            </w:r>
          </w:p>
        </w:tc>
        <w:tc>
          <w:tcPr>
            <w:tcW w:w="1559" w:type="dxa"/>
          </w:tcPr>
          <w:p w:rsidR="00000000" w:rsidRDefault="00A5462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8.513,19</w:t>
            </w:r>
          </w:p>
          <w:p w:rsidR="00000000" w:rsidRDefault="00A5462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6.353,13</w:t>
            </w:r>
          </w:p>
        </w:tc>
        <w:tc>
          <w:tcPr>
            <w:tcW w:w="2269" w:type="dxa"/>
          </w:tcPr>
          <w:p w:rsidR="00000000" w:rsidRDefault="00A5462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5462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759.706,96</w:t>
            </w:r>
          </w:p>
          <w:p w:rsidR="00000000" w:rsidRDefault="00A5462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529.334,34</w:t>
            </w:r>
          </w:p>
        </w:tc>
        <w:tc>
          <w:tcPr>
            <w:tcW w:w="2410" w:type="dxa"/>
          </w:tcPr>
          <w:p w:rsidR="00000000" w:rsidRDefault="00A5462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  <w:tc>
          <w:tcPr>
            <w:tcW w:w="1559" w:type="dxa"/>
          </w:tcPr>
          <w:p w:rsidR="00000000" w:rsidRDefault="00A5462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6.797,96</w:t>
            </w:r>
          </w:p>
          <w:p w:rsidR="00000000" w:rsidRDefault="00A5462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4.593,22</w:t>
            </w:r>
          </w:p>
        </w:tc>
        <w:tc>
          <w:tcPr>
            <w:tcW w:w="2269" w:type="dxa"/>
          </w:tcPr>
          <w:p w:rsidR="00000000" w:rsidRDefault="00A5462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A54623">
      <w:pPr>
        <w:rPr>
          <w:rFonts w:ascii="Arial" w:hAnsi="Arial"/>
          <w:b/>
          <w:sz w:val="16"/>
          <w:u w:val="single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4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462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</w:t>
            </w:r>
            <w:r>
              <w:rPr>
                <w:rFonts w:ascii="Arial" w:hAnsi="Arial"/>
                <w:b/>
                <w:i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5462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5462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5462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5462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5462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5462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5462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5462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5462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54623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4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Plastikkart Akıllı Kart İletişim Sist.A.Ş. </w:t>
            </w:r>
          </w:p>
        </w:tc>
        <w:tc>
          <w:tcPr>
            <w:tcW w:w="2304" w:type="dxa"/>
          </w:tcPr>
          <w:p w:rsidR="00000000" w:rsidRDefault="00A5462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</w:t>
            </w:r>
            <w:r>
              <w:rPr>
                <w:rFonts w:ascii="Arial" w:hAnsi="Arial"/>
                <w:sz w:val="16"/>
              </w:rPr>
              <w:t>0.000,00YTL</w:t>
            </w:r>
          </w:p>
        </w:tc>
        <w:tc>
          <w:tcPr>
            <w:tcW w:w="234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İnnova Bilişim Sist.A.Ş.</w:t>
            </w:r>
          </w:p>
        </w:tc>
        <w:tc>
          <w:tcPr>
            <w:tcW w:w="2304" w:type="dxa"/>
          </w:tcPr>
          <w:p w:rsidR="00000000" w:rsidRDefault="00A5462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7.319.691,81YTL</w:t>
            </w:r>
          </w:p>
        </w:tc>
        <w:tc>
          <w:tcPr>
            <w:tcW w:w="234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86"/>
        <w:gridCol w:w="1134"/>
        <w:gridCol w:w="25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6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4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09" w:type="dxa"/>
          </w:tcPr>
          <w:p w:rsidR="00000000" w:rsidRDefault="00A54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1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552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52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5462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1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Rıdvan ÇELİKEL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11.159.920,00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Avniye Mukaddes ÇELİKEL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Mahir Kerem ÇELİKEL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Merve Şirin ÇELİKEL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DEMİRHAN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Alp ÇOLAKOĞLU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YAZLIKİÇİ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Celalettin DEMİREL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AÇA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Yalçın YAZICI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 İbrahim PAPAKER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Bülent BATUKAN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Dğer Ortaklar (Halk</w:t>
            </w:r>
            <w:r>
              <w:rPr>
                <w:rFonts w:ascii="Arial" w:hAnsi="Arial"/>
                <w:sz w:val="16"/>
              </w:rPr>
              <w:t>a Arz)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22.000.000,00</w:t>
            </w:r>
          </w:p>
        </w:tc>
        <w:tc>
          <w:tcPr>
            <w:tcW w:w="2552" w:type="dxa"/>
          </w:tcPr>
          <w:p w:rsidR="00000000" w:rsidRDefault="00A5462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54623">
      <w:pPr>
        <w:jc w:val="both"/>
        <w:rPr>
          <w:rFonts w:ascii="Arial" w:hAnsi="Arial"/>
          <w:sz w:val="16"/>
        </w:rPr>
      </w:pPr>
    </w:p>
    <w:p w:rsidR="00000000" w:rsidRDefault="00A54623">
      <w:pPr>
        <w:jc w:val="both"/>
        <w:rPr>
          <w:rFonts w:ascii="Arial" w:hAnsi="Arial"/>
          <w:sz w:val="16"/>
        </w:rPr>
      </w:pPr>
    </w:p>
    <w:p w:rsidR="00000000" w:rsidRDefault="00A54623">
      <w:pPr>
        <w:jc w:val="both"/>
        <w:rPr>
          <w:rFonts w:ascii="Arial" w:hAnsi="Arial"/>
          <w:sz w:val="16"/>
        </w:rPr>
      </w:pPr>
    </w:p>
    <w:p w:rsidR="00000000" w:rsidRDefault="00A54623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Yukarıdaki tablonun aşağıda verilen İMKB Kotasyon Yönetmeliği’nde belirtilen esaslara uygun olarak doldurulması gerekmektedir. Bu esaslar :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</w:t>
      </w:r>
      <w:r>
        <w:rPr>
          <w:rFonts w:ascii="Arial" w:hAnsi="Arial"/>
          <w:sz w:val="16"/>
        </w:rPr>
        <w:t>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</w:t>
      </w:r>
      <w:r>
        <w:rPr>
          <w:rFonts w:ascii="Arial" w:hAnsi="Arial"/>
          <w:sz w:val="16"/>
        </w:rPr>
        <w:t>ara sahip yöneticileri (ayrı ayrı),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</w:t>
      </w:r>
      <w:r>
        <w:rPr>
          <w:rFonts w:ascii="Arial" w:hAnsi="Arial"/>
          <w:sz w:val="16"/>
        </w:rPr>
        <w:t xml:space="preserve">ikte, (A) alt başlığında belirtilen 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462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B) Ortaklık yönetim ve denetim organlarında görevli pay sahibi kişil</w:t>
      </w:r>
      <w:r>
        <w:rPr>
          <w:rFonts w:ascii="Arial" w:hAnsi="Arial"/>
          <w:sz w:val="16"/>
        </w:rPr>
        <w:t>er (ayrı ayrı),</w:t>
      </w:r>
    </w:p>
    <w:p w:rsidR="00000000" w:rsidRDefault="00A5462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Görevi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Rıdvan ÇELİKEL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Başkanı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Avniye Mukaddes ÇELİKEL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Başkan Yardımcısı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Celalettin DEMİREL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Transmisyon Süreçleri   Sorumlusu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AÇA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Santral Süreçleri Sorumlusu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Yalçın YAZICI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 İbrahim PAPAKER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Bülent BATUKAN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Hüseyin ORUÇ</w:t>
            </w:r>
          </w:p>
        </w:tc>
        <w:tc>
          <w:tcPr>
            <w:tcW w:w="2693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Denetçi</w:t>
            </w:r>
          </w:p>
        </w:tc>
      </w:tr>
    </w:tbl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</w:t>
      </w:r>
      <w:r>
        <w:rPr>
          <w:rFonts w:ascii="Arial" w:hAnsi="Arial"/>
          <w:sz w:val="16"/>
        </w:rPr>
        <w:t>p yöneticileri (ayrı ayrı),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9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</w:t>
            </w:r>
          </w:p>
        </w:tc>
        <w:tc>
          <w:tcPr>
            <w:tcW w:w="2409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Unvanı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Rıdvan ÇELİKEL</w:t>
            </w:r>
          </w:p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Müdür,Yönetim Kurulu Üyesi,Ortak;Kanuni Temsilci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Avniye Mukaddes ÇELİKEL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Üyesi,Ortak;Kanuni Temsilci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Mahir Kerem ÇELİKEL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Üyesi,Ortak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Merve Şirin</w:t>
            </w:r>
            <w:r>
              <w:rPr>
                <w:rFonts w:ascii="Arial" w:hAnsi="Arial"/>
                <w:sz w:val="16"/>
              </w:rPr>
              <w:t xml:space="preserve"> ÇELİKEL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Üyesi,Ortak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DEMİRHAN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Alp ÇOLAKOĞLU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YAZLIKİÇİ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Celalettin DEMİREL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AÇA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Yalçın YAZICI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Üyesi,Ortak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 İbrahim PAPAKER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Üyesi,Ortak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Bülent BATUKAN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Üyesi,Ortak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Dğer Ortaklar (Halka Arz)</w:t>
            </w:r>
          </w:p>
        </w:tc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Rıdvan ÇELİK</w:t>
            </w:r>
            <w:r>
              <w:rPr>
                <w:rFonts w:ascii="Arial" w:hAnsi="Arial"/>
                <w:sz w:val="16"/>
              </w:rPr>
              <w:t>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Avniye Mukaddes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Mahir Kerem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Merve Şirin ÇELİKEL</w:t>
            </w:r>
          </w:p>
        </w:tc>
      </w:tr>
    </w:tbl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</w:t>
      </w:r>
      <w:r>
        <w:rPr>
          <w:rFonts w:ascii="Arial" w:hAnsi="Arial"/>
          <w:sz w:val="16"/>
        </w:rPr>
        <w:t>an tüzel kişi ortaklar ( ayrı ayrı )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Yoktur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1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52" w:type="dxa"/>
          </w:tcPr>
          <w:p w:rsidR="00000000" w:rsidRDefault="00A54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54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Dğer Ortaklar (Halka Arz)</w:t>
            </w:r>
          </w:p>
        </w:tc>
        <w:tc>
          <w:tcPr>
            <w:tcW w:w="1134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9.000.000,00</w:t>
            </w:r>
          </w:p>
        </w:tc>
        <w:tc>
          <w:tcPr>
            <w:tcW w:w="2552" w:type="dxa"/>
          </w:tcPr>
          <w:p w:rsidR="00000000" w:rsidRDefault="00A54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40,90</w:t>
            </w:r>
          </w:p>
        </w:tc>
      </w:tr>
    </w:tbl>
    <w:p w:rsidR="00000000" w:rsidRDefault="00A546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623"/>
    <w:rsid w:val="00A5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7E0A-BA7C-467B-9299-FF2469F2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2006-05-12T22:17:00Z</cp:lastPrinted>
  <dcterms:created xsi:type="dcterms:W3CDTF">2022-09-01T21:35:00Z</dcterms:created>
  <dcterms:modified xsi:type="dcterms:W3CDTF">2022-09-01T21:35:00Z</dcterms:modified>
</cp:coreProperties>
</file>