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DENİZ  YATIRIM  ORTAKLIĞI  A.Ş.</w:t>
            </w:r>
          </w:p>
        </w:tc>
      </w:tr>
    </w:tbl>
    <w:p w:rsidR="00000000" w:rsidRDefault="004D120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05/05/1995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pStyle w:val="Heading7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 MANAGEMENT)</w:t>
            </w:r>
          </w:p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  No.:106  Kat:6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/ İSTANBUL</w:t>
            </w:r>
          </w:p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BAYKAL KARACAOĞLU  (Genel Müdür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pStyle w:val="Heading6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</w:t>
            </w:r>
            <w:r>
              <w:rPr>
                <w:rFonts w:ascii="Arial" w:hAnsi="Arial"/>
                <w:sz w:val="16"/>
              </w:rPr>
              <w:t>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yo@denizyati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rim.com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9.990.000,-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D12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149"/>
        <w:gridCol w:w="1530"/>
        <w:gridCol w:w="29"/>
        <w:gridCol w:w="254"/>
        <w:gridCol w:w="1843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4679" w:type="dxa"/>
            <w:gridSpan w:val="2"/>
          </w:tcPr>
          <w:p w:rsidR="00000000" w:rsidRDefault="004D12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31/12/2005 tarihi itibariyle portföyünde bulunan menkul kıymetlerin  sektörel dağılımı aşağıda verilmiştir.</w:t>
            </w:r>
          </w:p>
        </w:tc>
        <w:tc>
          <w:tcPr>
            <w:tcW w:w="283" w:type="dxa"/>
            <w:gridSpan w:val="2"/>
          </w:tcPr>
          <w:p w:rsidR="00000000" w:rsidRDefault="004D12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4D12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31/12/2005  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4D1205">
            <w:pPr>
              <w:ind w:left="-172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KUL KIYMETİN TÜRÜ VE SEKTÖR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149" w:type="dxa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(TYPE OF THE SECURITY AND SEKTOR)</w:t>
            </w:r>
          </w:p>
        </w:tc>
        <w:tc>
          <w:tcPr>
            <w:tcW w:w="36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149" w:type="dxa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(YTL)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(Shares)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1.110.171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5.893.837,63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7.948.446,65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31,52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  GIDA, İÇKİ VE TÜTÜN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Good, Beverage    and Tobacco)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9.292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42.976,88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45.252,04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0,57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Ülker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9.292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42.976,88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45.252,04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  KAĞIT VE KAĞIT ÜRÜNLERİ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(Manufacture of Paper and Paper Products)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31.900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102.309,55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167.794,00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2,11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Hurriyet Gazetecilik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102.309,55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167.794,00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  KİMYA, PETROL, KAUÇUK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(Manufacture of Chemicals an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d of Chemical Petroleum, Rubber)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59.700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557.067,34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742.114,00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9,34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Petkim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114.540,00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130.310,00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Petrol Ofisi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24.800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106.838,74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157.232,00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1,98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C) Tüpraş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18.300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335.688,61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454.572,00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4.  MET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 ANA SANAYİ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(Basic Metal Industries))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36.400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231.847,78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323.960,00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4,08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Ereğli Demir Çelik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231.847,78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323.960,00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4,08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5. 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Metal Products, Machinery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57.800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297.969,36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328.092,63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4,13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Arçelik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135.854,71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161.840,00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2,04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Tofaş Oto.Fab.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42.755,08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50.836,63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Vestel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119.359,57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115.416,00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6.  PERAKENDE TİCARET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     (Consumer Trade)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36.200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175.520,12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222.734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2,80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Migros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12.900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133.275,25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169.377,00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Tansaş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23.300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42.244,87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53.357,00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  ULAŞTIRMA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(Transportation)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12.300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95.146,16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103.566,00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1,30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0,41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 Hava Yolları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95.146,16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103.5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66,00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8.  HABERLEŞME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(Communication)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44.200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303.794,17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366.418,75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4,61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A) TürkCell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44.200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303.794,17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366.418,75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4,61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  SPOR HİZMETLERİ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(Sports Services)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165.000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979.539,52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1.066.350,00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13,42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A) Fenerbahçe Sportif A.Ş.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259.000,00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310.350,00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3,90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B) Trabzonspor Sportfif A.Ş.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720.539,52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756.000,00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9,51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10. BANKALAR VE ÖZEL FİNANS KURUMLARI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Banks and Special Finance Corporations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472.179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2.288.618,47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3.516.003,90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44,24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Akbank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59.800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390.212,40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655.408,00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8,25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B) Denizbank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33.400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180.530,54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294.588,00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3,71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Dışbank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30.952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125.337,37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198.711,84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2,50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Finansbank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58.127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172.447,57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345.275,06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4,34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E) Garanti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118.300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383.256,97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579.670,00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7,29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2,30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F)  İş Bankası (C)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66.200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451.955,21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787.118,00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9,90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3,12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G) Şekerbank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28.300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136.972,00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142.632,00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1,79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H)  Vakıfbank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193.500,00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215.400,00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2,71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I) Yap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ı ve Kredi Bankası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47.100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254.406,42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297.201,00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3,74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11. HOLDİNGLER VE YATIRIM ŞİRKETLERİ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Holdings and Investment Companies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185.200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819.048,28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1.066.161,33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13,41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A) Doğan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41.100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140.753,52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180.840,00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2,28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B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) Doğan Yayın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35.600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123.969,91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190.814,34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2,40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C) Koç Holding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32.600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182.434,77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206.358,99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2,60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D) Sabancı Holding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44.700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242.947,42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341.508,00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149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E) Şişe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31.200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128.942,66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146.640,00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II.DİĞER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(Other)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(02/01/2006 Over Night Repurchase Agrement)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Nominal Değer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19.662.735,00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Repo Tutarı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17.268.534,76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Faiz Oranı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68,48%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Gün Sayısı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lastRenderedPageBreak/>
              <w:t>TRT100210T12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8.334.050,00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7.509.369,86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TRT100210T12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7.778.445,00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7.008.745,21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TRT090507T17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3.279.690,00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2.503.123,29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15,20%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TRT100210T12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224.460,00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202.242,40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708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TRT140606T10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46.090,00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45.054,00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PORTFÖY TOPLAM DEĞERİ (I+II+III)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25.216.981,40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HAZIR DEĞERLER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(Current As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604,62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ALACAKLAR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(Receivable)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497,86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BORÇLAR (-)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(17.611,59)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14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25.200.472,29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708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 / TOPLAM PAY SAYISI</w:t>
            </w:r>
          </w:p>
          <w:p w:rsidR="00000000" w:rsidRDefault="004D1205">
            <w:pP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</w:t>
            </w: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2,52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</w:tbl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p w:rsidR="00000000" w:rsidRDefault="004D120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12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12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12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D120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A)  ORTAKLIK SERMAYESİNİN VEY</w:t>
            </w:r>
            <w:r>
              <w:rPr>
                <w:color w:val="auto"/>
                <w:sz w:val="16"/>
              </w:rPr>
              <w:t xml:space="preserve">A TOPLAM OY HAKLARININ EN AZ  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--.--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--.--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B)  O</w:t>
            </w:r>
            <w:r>
              <w:rPr>
                <w:rFonts w:ascii="Arial" w:hAnsi="Arial"/>
                <w:color w:val="auto"/>
                <w:sz w:val="16"/>
              </w:rPr>
              <w:t>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GÖREVLİ  PAY  SAHİBİ  KİŞİLER   (AYRI  AYRI),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1 - Deniz Yatırım Menkul Kıymetler A.Ş.</w:t>
            </w:r>
          </w:p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(Tems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ilcisi : Hakan ATEŞ – Yönetim Kurulu Başkanı)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26.270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2 - Cafer BAKIRHAN        (Yönetim Kurulu Bşk.Yrd.)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3 - Hüseyin Sami ÇELİK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4 - Enver ERDEM      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5 – Ali Kürşad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AYDIN       (Yönetim Kurulu Üyesi)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26.274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C)  ORTAKLIK GENEL MÜDÜR,  GENEL  MÜDÜR  YARDIMCISI,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VEREN DİĞER  ÜNVANLARA  SAHİP  YÖNETİCİLER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İ    ( AYRI  AYRI ),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Baykal KARACAOĞLU   (Genel Müdür Vekili –</w:t>
            </w:r>
          </w:p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                                Mali ve İdari İşler Müdürü)  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                             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D)  (A), (B) VE (C)  ALT  BAŞLIKLARINDA  BELİRTİLEN  HİSSEDARLAR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İLE  BİRİNCİ  DERECEDEN  AKRABALIK  İLİŞKİSİ  BULUNAN  PAY    </w:t>
            </w: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SAHİBİ KİŞİLER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AYRI  AYRI ),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i/>
                <w:color w:val="auto"/>
                <w:sz w:val="16"/>
              </w:rPr>
            </w:pPr>
            <w:r>
              <w:rPr>
                <w:i/>
                <w:color w:val="auto"/>
                <w:sz w:val="16"/>
              </w:rPr>
              <w:t>(Share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u w:val="none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E)  SERMAYE  YADA  TOPLAM  OY  HAKKI  İÇİNDE  %10 'DAN  AZ  PAYA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SAHİP  OLMAK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LA  BİRLİKTE,  ( A )  ALT  BAŞLIĞINDA  BELİRTİLEN 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4D1205">
            <w:pPr>
              <w:ind w:right="-314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TOPLULUK BÜNYESİNDE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F)  DİĞER  ORTAKLAR   ( HALKA  AÇIK  KISIM )</w:t>
            </w: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pStyle w:val="Heading4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Ortak  Ünvanı    </w:t>
            </w:r>
          </w:p>
          <w:p w:rsidR="00000000" w:rsidRDefault="004D1205">
            <w:pPr>
              <w:pStyle w:val="Heading4"/>
              <w:rPr>
                <w:b w:val="0"/>
                <w:color w:val="auto"/>
                <w:sz w:val="16"/>
                <w:u w:val="single"/>
              </w:rPr>
            </w:pPr>
            <w:r>
              <w:rPr>
                <w:color w:val="auto"/>
                <w:sz w:val="16"/>
              </w:rPr>
              <w:t>(</w:t>
            </w:r>
            <w:r>
              <w:rPr>
                <w:i/>
                <w:color w:val="auto"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1- Diğer Or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9.963.726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 99.74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9.963.726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%99.74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4D1205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4D1205">
            <w:pPr>
              <w:pStyle w:val="Heading5"/>
              <w:rPr>
                <w:snapToGrid w:val="0"/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u w:val="none"/>
              </w:rPr>
              <w:t>Amount  (YTL)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Payı (%) </w:t>
            </w:r>
          </w:p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9.990.000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4D1205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</w:tr>
    </w:tbl>
    <w:p w:rsidR="00000000" w:rsidRDefault="004D120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205"/>
    <w:rsid w:val="004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B62B4-7877-44B0-9FF2-7DC2FD1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denizyati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8153</CharactersWithSpaces>
  <SharedDoc>false</SharedDoc>
  <HLinks>
    <vt:vector size="6" baseType="variant">
      <vt:variant>
        <vt:i4>4915317</vt:i4>
      </vt:variant>
      <vt:variant>
        <vt:i4>0</vt:i4>
      </vt:variant>
      <vt:variant>
        <vt:i4>0</vt:i4>
      </vt:variant>
      <vt:variant>
        <vt:i4>5</vt:i4>
      </vt:variant>
      <vt:variant>
        <vt:lpwstr>mailto:yo@denizyatirim.com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2005-04-01T20:10:00Z</cp:lastPrinted>
  <dcterms:created xsi:type="dcterms:W3CDTF">2022-09-01T21:35:00Z</dcterms:created>
  <dcterms:modified xsi:type="dcterms:W3CDTF">2022-09-01T21:35:00Z</dcterms:modified>
</cp:coreProperties>
</file>