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pStyle w:val="Heading2"/>
            </w:pPr>
            <w:r>
              <w:t>GEDİK YATIRIM ORTAKLIĞI A.Ş</w:t>
            </w:r>
          </w:p>
        </w:tc>
      </w:tr>
    </w:tbl>
    <w:p w:rsidR="00000000" w:rsidRDefault="00FE20D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12/03/1998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pStyle w:val="Heading7"/>
            </w:pPr>
            <w:r>
              <w:t>GENEL MERKEZ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YAKACIK YAN YOL ÜZERİ GEDİK PLAZA KAT:3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NO:63 KARTAL/İSTANBUL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TOPAÇ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TOPAÇ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ÇINAR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İKİZ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377 77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377 66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10.000.000.-(YTL)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1.925.000.-(YTL)</w:t>
            </w:r>
          </w:p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  <w:vertAlign w:val="superscript"/>
              </w:rPr>
              <w:t>ND</w:t>
            </w: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E20D7">
            <w:pPr>
              <w:ind w:left="-250" w:firstLine="25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E2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FE2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</w:t>
            </w:r>
            <w:r>
              <w:rPr>
                <w:rFonts w:ascii="Arial" w:hAnsi="Arial"/>
                <w:i/>
                <w:sz w:val="16"/>
              </w:rPr>
              <w:t xml:space="preserve">  as of 31.12.2005 is shown below.</w:t>
            </w:r>
          </w:p>
        </w:tc>
      </w:tr>
    </w:tbl>
    <w:p w:rsidR="00000000" w:rsidRDefault="00FE20D7">
      <w:pPr>
        <w:rPr>
          <w:rFonts w:ascii="Arial" w:hAnsi="Arial"/>
          <w:sz w:val="16"/>
        </w:rPr>
      </w:pPr>
    </w:p>
    <w:tbl>
      <w:tblPr>
        <w:tblW w:w="0" w:type="auto"/>
        <w:tblInd w:w="-11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"/>
        <w:gridCol w:w="3596"/>
        <w:gridCol w:w="15"/>
        <w:gridCol w:w="1481"/>
        <w:gridCol w:w="1565"/>
        <w:gridCol w:w="1843"/>
        <w:gridCol w:w="672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MENKUL KIYMETİN TÜRÜ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ALIŞ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RAYİÇ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73" w:type="dxa"/>
            <w:tcBorders>
              <w:lef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96" w:type="dxa"/>
            <w:tcBorders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9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 ( YTL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 (YTL 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 ( YTL 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03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lef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96" w:type="dxa"/>
            <w:tcBorders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9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Group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(%)</w:t>
            </w:r>
          </w:p>
        </w:tc>
        <w:tc>
          <w:tcPr>
            <w:tcW w:w="803" w:type="dxa"/>
            <w:tcBorders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 -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HİSSE SENETLERİ            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(Shares)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432.000.810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2.009.516,46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2.359.005,13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GIDA İÇKİ VE TÜTÜN         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Food, Beverage &amp; Tobacco)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83.000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207.950,00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203.350,00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8.62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KİMYA, PETROL, PL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ASTİK 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of Chemicals and of Chemical 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Petroleum, Rubber and Plastic Products)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43.000</w:t>
            </w:r>
          </w:p>
          <w:p w:rsidR="00000000" w:rsidRDefault="00FE20D7">
            <w:pPr>
              <w:ind w:left="-142" w:firstLine="142"/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538.664,54</w:t>
            </w:r>
          </w:p>
          <w:p w:rsidR="00000000" w:rsidRDefault="00FE20D7">
            <w:pPr>
              <w:ind w:left="-142" w:firstLine="142"/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634.780,00</w:t>
            </w: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26.91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19.17</w:t>
            </w:r>
          </w:p>
          <w:p w:rsidR="00000000" w:rsidRDefault="00FE20D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METAL ANA SANAYİ    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2442.206,82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502.400,00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pStyle w:val="Heading6"/>
            </w:pPr>
            <w:r>
              <w:t>ELEKTRİK GAZ V</w:t>
            </w:r>
            <w:r>
              <w:t>E SU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(Electricity, Gas and Water)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115125,00</w:t>
            </w: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121.000.00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5.13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pStyle w:val="Heading6"/>
              <w:rPr>
                <w:lang w:val="en-AU"/>
              </w:rPr>
            </w:pPr>
            <w:r>
              <w:rPr>
                <w:lang w:val="en-AU"/>
              </w:rPr>
              <w:t>İNŞAAT VE BAYINDIRLIK</w:t>
            </w:r>
          </w:p>
          <w:p w:rsidR="00000000" w:rsidRDefault="00FE20D7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(Construction and Public Works)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/>
              </w:rPr>
              <w:t>75.000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/>
              </w:rPr>
              <w:t>155.136,72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/>
              </w:rPr>
              <w:t>286.500,00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/>
              </w:rPr>
              <w:t>12.14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/>
              </w:rPr>
              <w:t>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6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ULAŞTIRMA,HABERLEŞME VE DEPOLAMA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(Transport.&amp;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Communication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and</w:t>
            </w:r>
            <w:r>
              <w:rPr>
                <w:rFonts w:ascii="Arial" w:hAnsi="Arial"/>
                <w:sz w:val="16"/>
              </w:rPr>
              <w:t xml:space="preserve"> Storage)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111.000,00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141.800,00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lastRenderedPageBreak/>
              <w:t>7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BANKALAR VE ÖZEL FİNANS KURUMLARI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i/>
                <w:sz w:val="16"/>
              </w:rPr>
              <w:t>Banks and Special Finance Corporations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84.750,00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94.650,00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(Holding and Investment  Companies)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  <w:p w:rsidR="00000000" w:rsidRDefault="00FE20D7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46.000,81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354.683,38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374.525,13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11.31</w:t>
            </w:r>
          </w:p>
          <w:p w:rsidR="00000000" w:rsidRDefault="00FE20D7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KAMU KESMİ BOÇLANMA SENETLERİ (II)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(Debt Securities)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905.000,00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940.643,90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952.936,78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100.00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28.77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/>
              </w:rPr>
            </w:pPr>
          </w:p>
        </w:tc>
        <w:tc>
          <w:tcPr>
            <w:tcW w:w="3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PORFÖY DEĞERİ ( I+II+III )                      (Portfolio Value)</w:t>
            </w:r>
          </w:p>
        </w:tc>
        <w:tc>
          <w:tcPr>
            <w:tcW w:w="1496" w:type="dxa"/>
            <w:gridSpan w:val="2"/>
            <w:tcBorders>
              <w:left w:val="nil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1.337.000,81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2.950.160,36</w:t>
            </w:r>
          </w:p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3.311.941,90</w:t>
            </w:r>
          </w:p>
        </w:tc>
        <w:tc>
          <w:tcPr>
            <w:tcW w:w="672" w:type="dxa"/>
            <w:tcBorders>
              <w:left w:val="nil"/>
              <w:bottom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100.00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100.00</w:t>
            </w:r>
          </w:p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HAZIR DEĞERLER  ( +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 xml:space="preserve"> )               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/>
              </w:rPr>
              <w:t>(Current Assets)</w:t>
            </w:r>
          </w:p>
        </w:tc>
        <w:tc>
          <w:tcPr>
            <w:tcW w:w="156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394,89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ALACAKLAR            ( + )     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                ( - )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-72.087,46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       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(Total Value)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pStyle w:val="BodyText3"/>
              <w:rPr>
                <w:b/>
                <w:color w:val="000000"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 xml:space="preserve">                   </w:t>
            </w:r>
            <w:r>
              <w:rPr>
                <w:b/>
                <w:color w:val="000000"/>
                <w:sz w:val="16"/>
                <w:u w:val="none"/>
              </w:rPr>
              <w:t>3.240.249,33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4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TOPLAM DEĞER / PAY SAYISI                     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1.6832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(Total Value / Total Number of Shares)</w:t>
            </w:r>
          </w:p>
        </w:tc>
        <w:tc>
          <w:tcPr>
            <w:tcW w:w="148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tabs>
          <w:tab w:val="left" w:pos="1985"/>
          <w:tab w:val="left" w:pos="2880"/>
        </w:tabs>
        <w:ind w:left="-142" w:firstLine="142"/>
        <w:jc w:val="center"/>
        <w:rPr>
          <w:rFonts w:ascii="Arial" w:hAnsi="Arial"/>
          <w:color w:val="FF0000"/>
          <w:sz w:val="28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98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E20D7">
            <w:pPr>
              <w:ind w:left="-391" w:firstLine="3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986" w:type="dxa"/>
          </w:tcPr>
          <w:p w:rsidR="00000000" w:rsidRDefault="00FE2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FE20D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20D7">
            <w:pPr>
              <w:pStyle w:val="Heading5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FE20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E20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20D7">
            <w:pPr>
              <w:ind w:left="-3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E20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E20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E20D7">
      <w:pPr>
        <w:rPr>
          <w:rFonts w:ascii="Arial" w:hAnsi="Arial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ind w:left="-172" w:firstLine="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GEDİK YATIRIM MENKUL DEĞERLER A.Ş</w:t>
            </w:r>
          </w:p>
        </w:tc>
        <w:tc>
          <w:tcPr>
            <w:tcW w:w="1892" w:type="dxa"/>
          </w:tcPr>
          <w:p w:rsidR="00000000" w:rsidRDefault="00FE20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22.550..-</w:t>
            </w: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</w:t>
            </w:r>
          </w:p>
        </w:tc>
        <w:tc>
          <w:tcPr>
            <w:tcW w:w="1892" w:type="dxa"/>
          </w:tcPr>
          <w:p w:rsidR="00000000" w:rsidRDefault="00FE20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>3.850..-</w:t>
            </w: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(Bilinmiyor) </w:t>
            </w:r>
          </w:p>
        </w:tc>
        <w:tc>
          <w:tcPr>
            <w:tcW w:w="1892" w:type="dxa"/>
          </w:tcPr>
          <w:p w:rsidR="00000000" w:rsidRDefault="00FE20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1.898.00</w:t>
            </w:r>
            <w:r>
              <w:rPr>
                <w:rFonts w:ascii="Arial" w:hAnsi="Arial"/>
                <w:color w:val="000000"/>
                <w:sz w:val="16"/>
              </w:rPr>
              <w:t>0.-</w:t>
            </w: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TOPLAM (TOTAL)</w:t>
            </w:r>
          </w:p>
        </w:tc>
        <w:tc>
          <w:tcPr>
            <w:tcW w:w="189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1.925.000.-</w:t>
            </w: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E20D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E20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20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E20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E20D7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E20D7">
      <w:pPr>
        <w:tabs>
          <w:tab w:val="left" w:pos="1985"/>
          <w:tab w:val="left" w:pos="2880"/>
        </w:tabs>
        <w:jc w:val="center"/>
        <w:rPr>
          <w:rFonts w:ascii="Arial" w:hAnsi="Arial"/>
          <w:color w:val="FF0000"/>
          <w:sz w:val="28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E2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FE20D7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309"/>
        <w:gridCol w:w="2410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pStyle w:val="Heading4"/>
            </w:pPr>
            <w:r>
              <w:t xml:space="preserve">A)  ORTAKLIK SERMAYESİNİN VEYA TOPLAM OY HAKLARININ EN AZ  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pStyle w:val="Heading4"/>
            </w:pPr>
            <w:r>
              <w:t xml:space="preserve">      % 10 'UNA SAHİP GERÇEK VE TÜZEL KİŞİ ORTAKLAR (AYRI AYRI)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pStyle w:val="Heading4"/>
            </w:pPr>
            <w:r>
              <w:t xml:space="preserve">Ortak  Ünvanı    </w:t>
            </w:r>
          </w:p>
          <w:p w:rsidR="00000000" w:rsidRDefault="00FE20D7">
            <w:pPr>
              <w:pStyle w:val="Heading4"/>
              <w:rPr>
                <w:b w:val="0"/>
                <w:i/>
              </w:rPr>
            </w:pPr>
            <w:r>
              <w:rPr>
                <w:i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</w:t>
            </w:r>
            <w:r>
              <w:rPr>
                <w:rFonts w:ascii="Arial" w:hAnsi="Arial"/>
                <w:b/>
                <w:sz w:val="16"/>
              </w:rPr>
              <w:t xml:space="preserve">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sz w:val="16"/>
                <w:lang w:val="de-DE"/>
              </w:rPr>
              <w:t>GEDİK YATIRIM MENKUL DEĞERLER A.Ş (*)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sz w:val="16"/>
                <w:lang w:val="de-DE"/>
              </w:rPr>
              <w:t>22.550.-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(*) 10.04.2006 tarihi itibarı ile Gedik Yatırım Menkul Değerler A.Ş’nin   12.550 .- Lot Dolaşımda Olmayan Hisse Senedi Halka Açık Duruma Getirilmiş ve</w:t>
            </w:r>
          </w:p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F-Diğer Ortaklar (Halka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Açık Kısım) Bölümünde Yer Almıştır.</w:t>
            </w:r>
          </w:p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( 1 )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             </w:t>
            </w: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22.550.-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                                          %1.17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B)  ORTAKLIK YÖNETİM  VE  DENETİM  ORGANLARINDA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      GÖREVLİ  PAY  SAHİBİ  KİŞ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İLER   (AYRI  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YRI),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pStyle w:val="Heading4"/>
            </w:pPr>
            <w:r>
              <w:t xml:space="preserve">Ortak  Ünvanı    </w:t>
            </w:r>
          </w:p>
          <w:p w:rsidR="00000000" w:rsidRDefault="00FE20D7">
            <w:pPr>
              <w:pStyle w:val="Heading4"/>
              <w:rPr>
                <w:b w:val="0"/>
                <w:i/>
              </w:rPr>
            </w:pPr>
            <w:r>
              <w:rPr>
                <w:i/>
              </w:rPr>
              <w:t>(Share Holders)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Erhan TOPAÇ (*)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3.850.-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                          %0.20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(*) 10.04.2006 tarihi itibarı ile Erhan TOPAÇ’ın  3.850 .- Lot Dolaşımda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Olmayan Hisse Senedi Halka Açık Duruma Getirilmiş ve</w:t>
            </w:r>
          </w:p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F-Diğer Ortaklar (Halka Açık Kısım) Bölümünde Yer Almıştır.</w:t>
            </w:r>
          </w:p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( 2 )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3.850.-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        %0.20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      </w:t>
            </w:r>
          </w:p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C)  ORTAKLIK GENEL MÜDÜR,  G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ENEL  MÜDÜR  YARDIMCISI,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BÖLÜM  MÜDÜRÜ  YADA  BENZER  YETKİ  VE   SORUMLULUK  VEREN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VEREN DİĞER  ÜNVANLARA  SAHİP  YÖNETİCİLERİ    ( AYRI  AYRI ),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pStyle w:val="Heading4"/>
            </w:pPr>
            <w:r>
              <w:t xml:space="preserve">Ortak  Ünvanı    </w:t>
            </w:r>
          </w:p>
          <w:p w:rsidR="00000000" w:rsidRDefault="00FE20D7">
            <w:pPr>
              <w:pStyle w:val="Heading4"/>
              <w:rPr>
                <w:b w:val="0"/>
                <w:i/>
              </w:rPr>
            </w:pPr>
            <w:r>
              <w:rPr>
                <w:i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</w:rPr>
              <w:t>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1- Erhan TOPAÇ   (Genel Müdür)  (*)                        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3.850.-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%0.20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(*) 10.04.2006 tarihi itibarı ile Erhan TOPAÇ’ın  3.850 .- Lot Dolaşımda Olmayan Hisse Senedi Halka Açık Duruma Getirilmiş ve  F-Diğer Ortaklar (Halka Açık Kısı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m) Bölümünde Yer Almıştır.</w:t>
            </w:r>
          </w:p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</w:p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( 3 )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3.850.-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pStyle w:val="Heading2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lang w:val="en-AU"/>
              </w:rPr>
              <w:t>D)  (A), (B) VE (C)  ALT  BAŞLIKLARINDA  BELİRTİLEN  HİSSEDARLAR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İLE  BİRİNCİ  </w:t>
            </w: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DERECEDEN  AKRABALIK  İLİŞKİSİ  BULUNAN  PAY    </w:t>
            </w:r>
          </w:p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       SAHİBİ KİŞİLER  ( AYRI  AYRI ),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pStyle w:val="Heading4"/>
            </w:pPr>
            <w:r>
              <w:t>Ortak  Ünvan</w:t>
            </w:r>
            <w:r>
              <w:t xml:space="preserve">ı    </w:t>
            </w:r>
          </w:p>
          <w:p w:rsidR="00000000" w:rsidRDefault="00FE20D7">
            <w:pPr>
              <w:pStyle w:val="Heading4"/>
              <w:rPr>
                <w:b w:val="0"/>
                <w:i/>
              </w:rPr>
            </w:pPr>
            <w:r>
              <w:rPr>
                <w:i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( 4 )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E)  SERMAYE  YADA  TOPLAM  OY  HAKKI  İÇİNDE  %10 'DAN  AZ  PAYA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SAHİP  OLMAKLA  BİRLİKTE,  ( A )  ALT  BAŞLIĞINDA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BELİRTİLEN 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TÜZEL  KİŞİ  ORTAKLAR  İLE  AYNI  HOLDİNG,  GRUP  YADA       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7685" w:type="dxa"/>
            <w:gridSpan w:val="4"/>
          </w:tcPr>
          <w:p w:rsidR="00000000" w:rsidRDefault="00FE20D7">
            <w:pPr>
              <w:ind w:right="-314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TOPLULUK BÜNYESİNDE  BULUNAN  TÜZEL  KİŞİ  ORTAKLAR ( AYRI  AYRI ),</w:t>
            </w: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pStyle w:val="Heading4"/>
            </w:pPr>
            <w:r>
              <w:t xml:space="preserve">Ortak  Ünvanı    </w:t>
            </w:r>
          </w:p>
          <w:p w:rsidR="00000000" w:rsidRDefault="00FE20D7">
            <w:pPr>
              <w:pStyle w:val="Heading4"/>
              <w:rPr>
                <w:b w:val="0"/>
                <w:u w:val="single"/>
              </w:rPr>
            </w:pPr>
            <w:r>
              <w:t>(</w:t>
            </w:r>
            <w:r>
              <w:rPr>
                <w:i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TOPLAM ( 5 )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4824" w:type="dxa"/>
            <w:tcBorders>
              <w:bottom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F)  DİĞER  ORTAKLAR   ( HALKA  AÇIK  KISIM )</w:t>
            </w:r>
          </w:p>
        </w:tc>
        <w:tc>
          <w:tcPr>
            <w:tcW w:w="2719" w:type="dxa"/>
            <w:gridSpan w:val="2"/>
            <w:tcBorders>
              <w:bottom w:val="single" w:sz="12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pStyle w:val="Heading4"/>
            </w:pPr>
            <w:r>
              <w:t xml:space="preserve">Ortak  Ünvanı    </w:t>
            </w:r>
          </w:p>
          <w:p w:rsidR="00000000" w:rsidRDefault="00FE20D7">
            <w:pPr>
              <w:pStyle w:val="Heading4"/>
              <w:rPr>
                <w:b w:val="0"/>
                <w:u w:val="single"/>
              </w:rPr>
            </w:pPr>
            <w:r>
              <w:t>(</w:t>
            </w:r>
            <w:r>
              <w:rPr>
                <w:i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sz w:val="16"/>
                <w:lang w:val="de-DE"/>
              </w:rPr>
              <w:t>1- Diğer Ortaklar (Halka Açık Kısım)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sz w:val="16"/>
                <w:lang w:val="de-DE"/>
              </w:rPr>
              <w:t>1.898.000.-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snapToGrid w:val="0"/>
                <w:sz w:val="16"/>
                <w:lang w:val="de-DE"/>
              </w:rPr>
              <w:t>% 98.63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 Diğer Ortaklar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1.898.000.-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% 98.63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  <w:tc>
          <w:tcPr>
            <w:tcW w:w="2410" w:type="dxa"/>
            <w:gridSpan w:val="2"/>
          </w:tcPr>
          <w:p w:rsidR="00000000" w:rsidRDefault="00FE20D7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E20D7">
            <w:pPr>
              <w:pStyle w:val="Heading5"/>
              <w:rPr>
                <w:snapToGrid w:val="0"/>
                <w:color w:val="auto"/>
                <w:lang w:val="en-AU"/>
              </w:rPr>
            </w:pPr>
            <w:r>
              <w:rPr>
                <w:color w:val="auto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17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  TOPLAM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( 1+2+3+4+5+DİĞER ORTAKLAR )</w:t>
            </w:r>
          </w:p>
        </w:tc>
        <w:tc>
          <w:tcPr>
            <w:tcW w:w="27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1.925.000.-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E20D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</w:tr>
    </w:tbl>
    <w:p w:rsidR="00000000" w:rsidRDefault="00FE20D7">
      <w:pPr>
        <w:jc w:val="both"/>
        <w:rPr>
          <w:rFonts w:ascii="Arial" w:hAnsi="Arial"/>
          <w:sz w:val="16"/>
        </w:rPr>
      </w:pPr>
    </w:p>
    <w:p w:rsidR="00000000" w:rsidRDefault="00FE20D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0D7"/>
    <w:rsid w:val="00FE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45AC-21A6-4827-8BDF-05C2E72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color w:val="003300"/>
      <w:sz w:val="16"/>
      <w:szCs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ind w:left="-30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left="-142" w:firstLine="142"/>
      <w:outlineLvl w:val="5"/>
    </w:pPr>
    <w:rPr>
      <w:rFonts w:ascii="Arial" w:hAnsi="Arial"/>
      <w:b/>
      <w:bCs/>
      <w:snapToGrid w:val="0"/>
      <w:color w:val="000000"/>
      <w:sz w:val="16"/>
      <w:lang w:val="de-D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-67" w:firstLine="67"/>
    </w:pPr>
    <w:rPr>
      <w:b/>
      <w:snapToGrid w:val="0"/>
      <w:color w:val="000000"/>
      <w:sz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2006-05-11T20:22:00Z</cp:lastPrinted>
  <dcterms:created xsi:type="dcterms:W3CDTF">2022-09-01T21:35:00Z</dcterms:created>
  <dcterms:modified xsi:type="dcterms:W3CDTF">2022-09-01T21:35:00Z</dcterms:modified>
</cp:coreProperties>
</file>