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BDA">
            <w:pPr>
              <w:pStyle w:val="Heading2"/>
            </w:pPr>
            <w:r>
              <w:t>GARANTİ GAYRİMENKUL YATIRIM ORTAKLIĞI A.Ş.</w:t>
            </w:r>
          </w:p>
        </w:tc>
      </w:tr>
    </w:tbl>
    <w:p w:rsidR="00000000" w:rsidRDefault="00277B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30/07/1997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GAYRİMENKUL VE GAYRİMENKULE DAYALI SERMAYE PİYASASI ARAÇLARINA, GAYRİMENKUL PROJELERİNE, GAYRİMENKULE DAYALI HAKLARA VE SERMAYE PİYASASI </w:t>
            </w:r>
            <w:r>
              <w:rPr>
                <w:rFonts w:ascii="Arial" w:hAnsi="Arial"/>
                <w:color w:val="000000"/>
                <w:sz w:val="16"/>
              </w:rPr>
              <w:t>ARAÇLARINA YATIRIM YAPILMASI.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 65DOĞUŞ GRUBU BİNALARI A BLOK KAT 1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MEMİŞ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</w:t>
            </w:r>
            <w:r>
              <w:rPr>
                <w:rFonts w:ascii="Arial" w:hAnsi="Arial"/>
                <w:b/>
                <w:color w:val="000000"/>
                <w:sz w:val="16"/>
              </w:rPr>
              <w:t>ectors)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GERARD RYAN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ÖZTANGUT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ŞERİF HALUK DOĞANÇAY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M.OGAN KARATUNA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335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285 40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info@garantigyo.com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  <w:r>
              <w:rPr>
                <w:rFonts w:ascii="Arial" w:hAnsi="Arial"/>
                <w:color w:val="000000"/>
                <w:sz w:val="16"/>
              </w:rPr>
              <w:t>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77BD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2920"/>
        <w:gridCol w:w="1475"/>
        <w:gridCol w:w="1047"/>
        <w:gridCol w:w="1318"/>
        <w:gridCol w:w="940"/>
        <w:gridCol w:w="1020"/>
        <w:gridCol w:w="504"/>
        <w:gridCol w:w="436"/>
        <w:gridCol w:w="920"/>
        <w:gridCol w:w="820"/>
        <w:gridCol w:w="1040"/>
        <w:gridCol w:w="1120"/>
        <w:gridCol w:w="740"/>
        <w:gridCol w:w="900"/>
        <w:gridCol w:w="760"/>
        <w:gridCol w:w="840"/>
        <w:gridCol w:w="880"/>
        <w:gridCol w:w="2060"/>
        <w:gridCol w:w="1260"/>
        <w:gridCol w:w="66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3"/>
          <w:wAfter w:w="12436" w:type="dxa"/>
          <w:cantSplit/>
        </w:trPr>
        <w:tc>
          <w:tcPr>
            <w:tcW w:w="4417" w:type="dxa"/>
            <w:gridSpan w:val="3"/>
          </w:tcPr>
          <w:p w:rsidR="00000000" w:rsidRDefault="00277B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 aşağıda verilmiştir.</w:t>
            </w:r>
          </w:p>
        </w:tc>
        <w:tc>
          <w:tcPr>
            <w:tcW w:w="1047" w:type="dxa"/>
          </w:tcPr>
          <w:p w:rsidR="00000000" w:rsidRDefault="00277B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277B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31.12.2005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50"/>
        </w:trPr>
        <w:tc>
          <w:tcPr>
            <w:tcW w:w="16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bookmarkStart w:id="0" w:name="RANGE!A1:Q79"/>
            <w:r>
              <w:rPr>
                <w:rFonts w:ascii="Arial" w:hAnsi="Arial"/>
                <w:sz w:val="16"/>
              </w:rPr>
              <w:t>GARANTİ GAYRİMENKUL YATIRIM ORTAKLI</w:t>
            </w:r>
            <w:r>
              <w:rPr>
                <w:rFonts w:ascii="Arial" w:hAnsi="Arial"/>
                <w:sz w:val="16"/>
              </w:rPr>
              <w:t>ĞI A.Ş . 31-12-2005 PORTFÖY TABLOSU</w:t>
            </w:r>
            <w:bookmarkEnd w:id="0"/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0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69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GAYRİMENKULLER, GAYRİMENKUL PROJELERİ, GAYRİMENKULE DAYALI HAKLAR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</w:t>
            </w:r>
            <w:r>
              <w:rPr>
                <w:rFonts w:ascii="Arial" w:hAnsi="Arial"/>
                <w:sz w:val="16"/>
              </w:rPr>
              <w:t>ş Ekspertiz Değeri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Tarihi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Değeri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Tarihi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Değeri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Arsalar ve Araziler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Binalar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17.260.000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3.655.000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98.970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85.274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                                            (Dip not:2)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Taksim-1.350m2 İşyeri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995.625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5.975.000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5.975.000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Garanti Bankası A.Ş.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                                             (Dip not:2)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Levent-374m2 İşyeri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297.750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1.835.000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1.835.000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11.461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Garant</w:t>
            </w:r>
            <w:r>
              <w:rPr>
                <w:rFonts w:ascii="Arial" w:hAnsi="Arial"/>
                <w:sz w:val="16"/>
              </w:rPr>
              <w:t>i Bankası A.Ş.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Etiler                                               (Dip not:2)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Etiler-294m2-İşyeri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3.559.850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3.530.000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3.950.000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24.02.2005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  </w:t>
            </w:r>
            <w:r>
              <w:rPr>
                <w:rFonts w:ascii="Arial" w:hAnsi="Arial"/>
                <w:sz w:val="16"/>
              </w:rPr>
              <w:t xml:space="preserve">                                           (Dip not:2)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Antalya-3.550m2-56 adet bağımsız bölüm-İşyeri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06.03.00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2.331.094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2.549.000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30.270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17.482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Antalya2000 Plaza 5,6,7,8,9 Katlar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10.274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Garanti Bankası A.Ş.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 31-32 nolu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Bener Tuzcu-B&amp;M Tekstil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 71 nolu Bağımsız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Sigorta A.Ş.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</w:t>
            </w:r>
            <w:r>
              <w:rPr>
                <w:rFonts w:ascii="Arial" w:hAnsi="Arial"/>
                <w:sz w:val="16"/>
              </w:rPr>
              <w:t>01.2005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 26 nolu Bağımsız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Spor Malz. Turizm LTD.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 24-25 nolu Bağımsız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Optik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Antalya2000 Plaza </w:t>
            </w:r>
            <w:r>
              <w:rPr>
                <w:rFonts w:ascii="Arial" w:hAnsi="Arial"/>
                <w:sz w:val="16"/>
              </w:rPr>
              <w:t>22-23 nolu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Baryum Bilgisayar-Harun Kurt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 20-21 nolu Bölüm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Spor Malz. Turizm LTD.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Gayrimenkuller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</w:t>
            </w:r>
            <w:r>
              <w:rPr>
                <w:rFonts w:ascii="Arial" w:hAnsi="Arial"/>
                <w:b/>
                <w:sz w:val="16"/>
              </w:rPr>
              <w:t>nkul Projeleri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88.459.316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 Projesi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Maslak-44.121m2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13.527.578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20.957.000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63.770.000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61.409.873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Evidea Projesi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Çekmeköy Konut Projesi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39.654.000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39.654.000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27.049.444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Gayrimenkule Dayalı Haklar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GAYRİMENKULLER TOPLAMI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105.719.316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1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82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Konusu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GKY R</w:t>
            </w:r>
            <w:r>
              <w:rPr>
                <w:rFonts w:ascii="Arial" w:hAnsi="Arial"/>
                <w:sz w:val="16"/>
              </w:rPr>
              <w:t>EAL ESTATE INVESTMENTS SA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3.609.874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3.609.874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TOPLAMI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3.609.874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Oranı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De</w:t>
            </w:r>
            <w:r>
              <w:rPr>
                <w:rFonts w:ascii="Arial" w:hAnsi="Arial"/>
                <w:sz w:val="16"/>
              </w:rPr>
              <w:t>ğeri (TL)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(Milyon TL)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Tahvil ve Bonolar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25.712.270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TRT270607T14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2.421.150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2.475.330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TRT27060</w:t>
            </w:r>
            <w:r>
              <w:rPr>
                <w:rFonts w:ascii="Arial" w:hAnsi="Arial"/>
                <w:sz w:val="16"/>
              </w:rPr>
              <w:t>7T14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4.884.300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4.950.660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TRT100207T12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2.270.200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113,510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2.301.500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TRT170210T15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27.04.05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1.002.880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TRT170210T15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11.05.05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999.520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TRT170210T15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4.340.200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108,505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4.552.520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TRT180810T18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1.070.850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107,085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1.144.</w:t>
            </w: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TRT180810T18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7.627.900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108,970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8.011.500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Vadeli / Vadesiz Döviz Tevdiat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Bankası USD Vadesiz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2.238.781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Bankası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2.021.698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Bankası O/N Mevduat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Piyasası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Para ve Sermaye Piyasası Araçları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TOPLAMI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27.951.051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</w:t>
            </w:r>
            <w:r>
              <w:rPr>
                <w:rFonts w:ascii="Arial" w:hAnsi="Arial"/>
                <w:sz w:val="16"/>
              </w:rPr>
              <w:t>Y DEĞERİ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6.796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489.702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3.051.695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36.860.856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103.967.578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DEĞERİ (TL)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8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BİLGİLER</w:t>
            </w:r>
          </w:p>
        </w:tc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255"/>
        </w:trPr>
        <w:tc>
          <w:tcPr>
            <w:tcW w:w="6760" w:type="dxa"/>
            <w:gridSpan w:val="4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2005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255"/>
        </w:trPr>
        <w:tc>
          <w:tcPr>
            <w:tcW w:w="676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</w:t>
            </w:r>
            <w:r>
              <w:rPr>
                <w:rFonts w:ascii="Arial" w:hAnsi="Arial"/>
                <w:b/>
                <w:sz w:val="16"/>
              </w:rPr>
              <w:t>n Açıklamalar :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50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Cinsinden)</w:t>
            </w: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(Milyon TL)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922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2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2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9740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2166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166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2166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166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21660" w:type="dxa"/>
            <w:gridSpan w:val="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20"/>
        </w:trPr>
        <w:tc>
          <w:tcPr>
            <w:tcW w:w="1244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SINIRLAMALARI KONTROLLERİ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</w:t>
            </w:r>
            <w:r>
              <w:rPr>
                <w:rFonts w:ascii="Arial" w:hAnsi="Arial"/>
                <w:sz w:val="16"/>
              </w:rPr>
              <w:t>ER, GAYRİMENKUL PROJELERİ VE GAYRİMENKULE DAYALI HAKLAR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105.719.316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</w:t>
            </w:r>
            <w:r>
              <w:rPr>
                <w:rFonts w:ascii="Arial" w:hAnsi="Arial"/>
                <w:sz w:val="16"/>
              </w:rPr>
              <w:t>NKUL ÖDEMELERİ İÇİN TUTULAN KISMI (A+B)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105.719.316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3.609.874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27.951.051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TUTULAN PARA VE SERMAYE PİYASASI ARAÇLARI (D</w:t>
            </w:r>
            <w:r>
              <w:rPr>
                <w:rFonts w:ascii="Arial" w:hAnsi="Arial"/>
                <w:sz w:val="16"/>
              </w:rPr>
              <w:t>+E)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31.560.925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2.238.781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2.238.781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</w:t>
            </w:r>
            <w:r>
              <w:rPr>
                <w:rFonts w:ascii="Arial" w:hAnsi="Arial"/>
                <w:sz w:val="16"/>
              </w:rPr>
              <w:t>FÖY DEĞERİ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...A.Ş.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… A.Ş.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3.609.874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İştirakler Toplamı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3.609.874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Değeri Toplamı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Kredi 1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 Bankası A.Ş.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Kredi 2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 Bankası A.Ş.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) Kredi 3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 Bankası A.Ş.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Krediler Toplamı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244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103.967.578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Dipnotlar: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67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1-Tablodaki veriler yanında para cinsi belirtilmediği sürece YTL olarak girilmişt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77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2-Tablod da gayrimenkullerin ekspertiz değerleri KDV hariç olup, KDV dahil değerler aşağıdaki gibidir.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7.050.500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2.165.300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4.661.000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77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3-Aşağıda belirtilen işyerlerine ait kira sözleşmeleri döviz bazında olup tablo da YTL değerleri yeralmaktadır.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USD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</w:t>
            </w: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5,6.7,8,9 Katlar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Plaza71 Nolu Bağımsız Bölüm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45"/>
        </w:trPr>
        <w:tc>
          <w:tcPr>
            <w:tcW w:w="87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4-Etiler binası alış tutarı 3.490.000 YTL olup, 69.850 YTL ihale komisyonu ve harç bedelidir.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825"/>
        </w:trPr>
        <w:tc>
          <w:tcPr>
            <w:tcW w:w="67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5-Binaların sigortaları (arsa hariç değerleri üzerinden ) 31.12.2005 tarihinde yenilenmiştir.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43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6-Tabloda, Maslak projesi portföy değeri projeye bugüne kadar yapılan toplam ödeme miktarıdır.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35"/>
        </w:trPr>
        <w:tc>
          <w:tcPr>
            <w:tcW w:w="21000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7-Yapı Kredi Koray GYO AŞ </w:t>
            </w:r>
            <w:r>
              <w:rPr>
                <w:rFonts w:ascii="Arial" w:hAnsi="Arial"/>
                <w:color w:val="000000"/>
                <w:sz w:val="16"/>
              </w:rPr>
              <w:t>ve Garanti GYO AŞ Ortak Girişimi olarak girilen Evidea konut Projesinde gerçekleşen satışlardan(Garanti GYO payına düşen) 36.235.208 YTL nakit girişi sağlanmış olup tapu teslimlerine kadar bilançoda Uzun Vadeli borçlar -Alınan siapariş avanslarında takip e</w:t>
            </w:r>
            <w:r>
              <w:rPr>
                <w:rFonts w:ascii="Arial" w:hAnsi="Arial"/>
                <w:color w:val="000000"/>
                <w:sz w:val="16"/>
              </w:rPr>
              <w:t>dilecektir.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60"/>
        </w:trPr>
        <w:tc>
          <w:tcPr>
            <w:tcW w:w="1140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 Romanya'da kurulan GKY Real Estate Investments SA şirketine 1.500.000 Euro karşılığı sermaye ödemesi ve 670.500 Euro karşılığı avans ödemesi yapılmıştır.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7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3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3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BDA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277B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0"/>
        <w:gridCol w:w="2436"/>
        <w:gridCol w:w="1396"/>
        <w:gridCol w:w="3823"/>
        <w:gridCol w:w="1616"/>
        <w:gridCol w:w="1056"/>
        <w:gridCol w:w="1156"/>
        <w:gridCol w:w="1216"/>
        <w:gridCol w:w="133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7.5pt;margin-top:6pt;width:120.75pt;height:27.75pt;z-index:251657216;mso-position-horizontal:absolute;mso-position-horizontal-relative:text;mso-position-vertical:absolute;mso-position-vertical-relative:text" o:allowincell="f">
                  <v:imagedata r:id="rId4" o:title="REIC 35mm -"/>
                </v:shape>
              </w:pict>
            </w:r>
            <w:r>
              <w:rPr>
                <w:rFonts w:ascii="Arial" w:hAnsi="Arial"/>
                <w:sz w:val="16"/>
              </w:rPr>
              <w:pict>
                <v:shape id="_x0000_s1027" type="#_x0000_t75" style="position:absolute;margin-left:7.5pt;margin-top:6pt;width:120.75pt;height:27.75pt;z-index:251658240;mso-position-horizontal:absolute;mso-position-horizontal-relative:text;mso-position-vertical:absolute;mso-position-vertical-relative:text" o:allowincell="f">
                  <v:imagedata r:id="rId4" o:title="REIC 35mm -"/>
                </v:shape>
              </w:pict>
            </w:r>
          </w:p>
          <w:p w:rsidR="00000000" w:rsidRDefault="00277BDA">
            <w:pPr>
              <w:rPr>
                <w:rFonts w:ascii="Arial" w:hAnsi="Arial"/>
                <w:sz w:val="16"/>
              </w:rPr>
            </w:pPr>
          </w:p>
          <w:p w:rsidR="00000000" w:rsidRDefault="00277BDA">
            <w:pPr>
              <w:rPr>
                <w:rFonts w:ascii="Arial" w:hAnsi="Arial"/>
                <w:sz w:val="16"/>
              </w:rPr>
            </w:pPr>
          </w:p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REAL ESTATE INVESTMENT COMPANY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31.12.2005 NET ASSET VALUE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MILLION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ASSETS </w:t>
            </w:r>
          </w:p>
        </w:tc>
        <w:tc>
          <w:tcPr>
            <w:tcW w:w="243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LOCATION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AREA SQM</w:t>
            </w:r>
          </w:p>
        </w:tc>
        <w:tc>
          <w:tcPr>
            <w:tcW w:w="3823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PURCHASE PRİCE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APPRAISAL DATE</w:t>
            </w:r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 </w:t>
            </w:r>
          </w:p>
        </w:tc>
        <w:tc>
          <w:tcPr>
            <w:tcW w:w="11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III=I-II )                       MARKET VALUE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( </w:t>
            </w:r>
            <w:r>
              <w:rPr>
                <w:rFonts w:ascii="Arial" w:hAnsi="Arial"/>
                <w:b/>
                <w:color w:val="FFFFFF"/>
                <w:sz w:val="16"/>
              </w:rPr>
              <w:t xml:space="preserve">% )                     GROUP </w:t>
            </w:r>
          </w:p>
        </w:tc>
        <w:tc>
          <w:tcPr>
            <w:tcW w:w="133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( % )                               TOTAL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REAL ESTATES                                 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Lands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Rental Proporties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 m²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995.625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14.12.1998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5.975.000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 m²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297.750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14.12.1998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1.835.000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Etiler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 m²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3.559.850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3.550 m²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.331.094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06.03.2000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TOTAL </w:t>
            </w:r>
            <w:r>
              <w:rPr>
                <w:rFonts w:ascii="Arial" w:hAnsi="Arial"/>
                <w:sz w:val="16"/>
              </w:rPr>
              <w:t>Proporties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17.260.000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Development Projects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Power Center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44.121 m²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13.527.578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21.12.2000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67.404.832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Evidea Housing Project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  <w:r>
              <w:rPr>
                <w:rFonts w:ascii="Arial" w:hAnsi="Arial"/>
                <w:sz w:val="16"/>
              </w:rPr>
              <w:t xml:space="preserve"> Proje</w:t>
            </w:r>
            <w:r>
              <w:rPr>
                <w:rFonts w:ascii="Arial" w:hAnsi="Arial"/>
                <w:sz w:val="16"/>
              </w:rPr>
              <w:t>cts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98.444.832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115.704.832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3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SUNSIDIARIES</w:t>
            </w:r>
          </w:p>
        </w:tc>
        <w:tc>
          <w:tcPr>
            <w:tcW w:w="24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Field of Activity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Purchase</w:t>
            </w:r>
            <w:r>
              <w:rPr>
                <w:rFonts w:ascii="Arial" w:hAnsi="Arial"/>
                <w:b/>
                <w:sz w:val="16"/>
              </w:rPr>
              <w:br/>
              <w:t xml:space="preserve"> Date</w:t>
            </w:r>
          </w:p>
        </w:tc>
        <w:tc>
          <w:tcPr>
            <w:tcW w:w="38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Purchase </w:t>
            </w:r>
            <w:r>
              <w:rPr>
                <w:rFonts w:ascii="Arial" w:hAnsi="Arial"/>
                <w:b/>
                <w:sz w:val="16"/>
              </w:rPr>
              <w:br/>
              <w:t>Price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Market</w:t>
            </w:r>
            <w:r>
              <w:rPr>
                <w:rFonts w:ascii="Arial" w:hAnsi="Arial"/>
                <w:b/>
                <w:sz w:val="16"/>
              </w:rPr>
              <w:br/>
              <w:t xml:space="preserve"> Value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% Total </w:t>
            </w:r>
          </w:p>
        </w:tc>
        <w:tc>
          <w:tcPr>
            <w:tcW w:w="1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GKY REAL ESTATE INVESTMENTS SA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3.399.110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3.399.110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3.399.110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3.399.110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3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CASH &amp; SECURITIES</w:t>
            </w:r>
          </w:p>
        </w:tc>
        <w:tc>
          <w:tcPr>
            <w:tcW w:w="24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Purchase </w:t>
            </w:r>
            <w:r>
              <w:rPr>
                <w:rFonts w:ascii="Arial" w:hAnsi="Arial"/>
                <w:b/>
                <w:sz w:val="16"/>
              </w:rPr>
              <w:br/>
              <w:t>Price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Purchase </w:t>
            </w:r>
            <w:r>
              <w:rPr>
                <w:rFonts w:ascii="Arial" w:hAnsi="Arial"/>
                <w:b/>
                <w:sz w:val="16"/>
              </w:rPr>
              <w:br/>
              <w:t>Amount</w:t>
            </w:r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Market</w:t>
            </w:r>
            <w:r>
              <w:rPr>
                <w:rFonts w:ascii="Arial" w:hAnsi="Arial"/>
                <w:b/>
                <w:sz w:val="16"/>
              </w:rPr>
              <w:br/>
              <w:t xml:space="preserve"> Value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% Total </w:t>
            </w:r>
          </w:p>
        </w:tc>
        <w:tc>
          <w:tcPr>
            <w:tcW w:w="1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Tbills and Bonds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19.858.460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Demand / Term Deposits FX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164.405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 Deposits YTL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534.888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20.557.753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73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PORTFOLIO VALUE</w:t>
            </w:r>
          </w:p>
        </w:tc>
        <w:tc>
          <w:tcPr>
            <w:tcW w:w="10327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Market</w:t>
            </w:r>
            <w:r>
              <w:rPr>
                <w:rFonts w:ascii="Arial" w:hAnsi="Arial"/>
                <w:b/>
                <w:sz w:val="16"/>
              </w:rPr>
              <w:br/>
              <w:t xml:space="preserve"> Value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Total</w:t>
            </w:r>
          </w:p>
        </w:tc>
        <w:tc>
          <w:tcPr>
            <w:tcW w:w="1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2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137.280.241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73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77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Market </w:t>
            </w:r>
            <w:r>
              <w:rPr>
                <w:rFonts w:ascii="Arial" w:hAnsi="Arial"/>
                <w:b/>
                <w:sz w:val="16"/>
              </w:rPr>
              <w:br/>
              <w:t>Value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CASH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RECEIVABLES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489.702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ASS</w:t>
            </w:r>
            <w:r>
              <w:rPr>
                <w:rFonts w:ascii="Arial" w:hAnsi="Arial"/>
                <w:sz w:val="16"/>
              </w:rPr>
              <w:t>ETS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3.051.695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LIABILITIES (-)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36.860.856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ASSET VALUE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103.967.578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NO OF SHARE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 PER SHARE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Avarage Price on IMKB- last s</w:t>
            </w:r>
            <w:r>
              <w:rPr>
                <w:rFonts w:ascii="Arial" w:hAnsi="Arial"/>
                <w:sz w:val="16"/>
              </w:rPr>
              <w:t>ession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7B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277BDA">
      <w:pPr>
        <w:rPr>
          <w:rFonts w:ascii="Arial" w:hAnsi="Arial"/>
          <w:sz w:val="16"/>
        </w:rPr>
      </w:pPr>
    </w:p>
    <w:p w:rsidR="00000000" w:rsidRDefault="00277BD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7B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7B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7B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7BD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7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7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B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7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7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7BD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BANKASI A.Ş.</w:t>
            </w:r>
          </w:p>
        </w:tc>
        <w:tc>
          <w:tcPr>
            <w:tcW w:w="1892" w:type="dxa"/>
          </w:tcPr>
          <w:p w:rsidR="00000000" w:rsidRDefault="00277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37.622.944</w:t>
            </w:r>
          </w:p>
        </w:tc>
        <w:tc>
          <w:tcPr>
            <w:tcW w:w="2410" w:type="dxa"/>
          </w:tcPr>
          <w:p w:rsidR="00000000" w:rsidRDefault="00277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277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11.291</w:t>
            </w:r>
          </w:p>
        </w:tc>
        <w:tc>
          <w:tcPr>
            <w:tcW w:w="2410" w:type="dxa"/>
          </w:tcPr>
          <w:p w:rsidR="00000000" w:rsidRDefault="00277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TİCARET A.Ş.</w:t>
            </w:r>
          </w:p>
        </w:tc>
        <w:tc>
          <w:tcPr>
            <w:tcW w:w="1892" w:type="dxa"/>
          </w:tcPr>
          <w:p w:rsidR="00000000" w:rsidRDefault="00277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3.763</w:t>
            </w:r>
          </w:p>
        </w:tc>
        <w:tc>
          <w:tcPr>
            <w:tcW w:w="2410" w:type="dxa"/>
          </w:tcPr>
          <w:p w:rsidR="00000000" w:rsidRDefault="00277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277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36.162.000</w:t>
            </w:r>
          </w:p>
        </w:tc>
        <w:tc>
          <w:tcPr>
            <w:tcW w:w="2410" w:type="dxa"/>
          </w:tcPr>
          <w:p w:rsidR="00000000" w:rsidRDefault="00277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B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77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77B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77BDA">
      <w:pPr>
        <w:jc w:val="both"/>
        <w:rPr>
          <w:rFonts w:ascii="Arial" w:hAnsi="Arial"/>
          <w:sz w:val="16"/>
        </w:rPr>
      </w:pPr>
    </w:p>
    <w:sectPr w:rsidR="00000000">
      <w:pgSz w:w="16840" w:h="11907" w:orient="landscape" w:code="9"/>
      <w:pgMar w:top="193" w:right="726" w:bottom="198" w:left="567" w:header="720" w:footer="720" w:gutter="0"/>
      <w:paperSrc w:first="15" w:other="15"/>
      <w:cols w:space="708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BDA"/>
    <w:rsid w:val="002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8F0B9C-BA4C-4809-9FAC-7CE42F2A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