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0F4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SODA SANAYİİ A.Ş.</w:t>
            </w:r>
          </w:p>
        </w:tc>
      </w:tr>
    </w:tbl>
    <w:p w:rsidR="00000000" w:rsidRDefault="00710F4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16.10.1969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SODA, HAFİF SODA, AĞIR SODA, SODYUM BİKARBONAT, SODYUM SİLİKAT, SODYUM BİKROMAT, SODYUM SÜLFÜR, SODYUM SÜLFAT, BAZİK KROM SÜLFAT (TANKROM AB, TANKROM SB, TANKROM OBM, T</w:t>
            </w:r>
            <w:r>
              <w:rPr>
                <w:rFonts w:ascii="Arial" w:hAnsi="Arial"/>
                <w:sz w:val="16"/>
              </w:rPr>
              <w:t>ANKROM F24, TANKROM FS, TANKROM OB, TANKROM FO, RESİNTAN M),KROMİK ASİT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SODAASH, LİGHT SODAASH, HEAVY SODAASH, SODIUM BICARBONATE, SODİUM SİLİCATE, SODIUM DICROMATE, SODIUM SULPHIDE,  SODIUM SULPHATE , BASİC  CHROMIUM SULPHATE  (TANK</w:t>
            </w:r>
            <w:r>
              <w:rPr>
                <w:rFonts w:ascii="Arial" w:hAnsi="Arial"/>
                <w:sz w:val="16"/>
              </w:rPr>
              <w:t>ROM AB, TANKROM SB, TANKROM OBM, TANKROM F24, TANKROM FS, TANKROM OB, TANKROM FO, RESİNTAN M),CHROMIC ACID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KULE-3     34330  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 TOWERS TOWER-3  34330   4.LEVENT/İSTANBUL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ATİLLA DİDİN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 TEVFİK ATEŞ KUT </w:t>
            </w:r>
          </w:p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DILEK CAMLI</w:t>
            </w:r>
          </w:p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NUR ATUKALP</w:t>
            </w:r>
          </w:p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İNCİ YILMAZ</w:t>
            </w:r>
          </w:p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KARA</w:t>
            </w:r>
          </w:p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İHSAN ORHON</w:t>
            </w:r>
          </w:p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UFUK ERSOY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212 350 50 50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212 350 58 60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</w:t>
            </w:r>
            <w:r>
              <w:rPr>
                <w:rFonts w:ascii="Arial" w:hAnsi="Arial"/>
                <w:b/>
                <w:sz w:val="16"/>
              </w:rPr>
              <w:t>simile)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439 MEMUR, 497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439 CIVIL SERVANT, 497 WORKER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İŞ SENDİKASI</w:t>
            </w:r>
          </w:p>
          <w:p w:rsidR="00000000" w:rsidRDefault="00710F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</w:t>
            </w:r>
            <w:r>
              <w:rPr>
                <w:rFonts w:ascii="Arial" w:hAnsi="Arial"/>
                <w:b/>
                <w:sz w:val="16"/>
              </w:rPr>
              <w:t xml:space="preserve">or Union) 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PETROLEUM OIL CHEMICAL RUBBER WORKERS TRADE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F4E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100.000.000.-YTL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62.630.000.-YTL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</w:t>
            </w:r>
            <w:r>
              <w:rPr>
                <w:rFonts w:ascii="Arial" w:hAnsi="Arial"/>
                <w:b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İMKB 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ISE NATIONAL MARKET</w:t>
            </w:r>
          </w:p>
        </w:tc>
      </w:tr>
    </w:tbl>
    <w:p w:rsidR="00000000" w:rsidRDefault="00710F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3"/>
        <w:gridCol w:w="1134"/>
        <w:gridCol w:w="1134"/>
        <w:gridCol w:w="1164"/>
        <w:gridCol w:w="254"/>
        <w:gridCol w:w="427"/>
        <w:gridCol w:w="391"/>
        <w:gridCol w:w="32"/>
        <w:gridCol w:w="1135"/>
        <w:gridCol w:w="851"/>
        <w:gridCol w:w="1276"/>
        <w:gridCol w:w="11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710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681" w:type="dxa"/>
            <w:gridSpan w:val="2"/>
          </w:tcPr>
          <w:p w:rsidR="00000000" w:rsidRDefault="00710F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  <w:gridSpan w:val="6"/>
          </w:tcPr>
          <w:p w:rsidR="00000000" w:rsidRDefault="00710F4E">
            <w:pPr>
              <w:ind w:left="-41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The production figures of the Company for the last two</w:t>
            </w:r>
          </w:p>
          <w:p w:rsidR="00000000" w:rsidRDefault="00710F4E">
            <w:pPr>
              <w:ind w:left="-41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     years are 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1807" w:type="dxa"/>
            <w:gridSpan w:val="2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Sodyum                                                                                                                           </w:t>
            </w: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Karbonat  </w:t>
            </w: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(Ton)</w:t>
            </w:r>
          </w:p>
        </w:tc>
        <w:tc>
          <w:tcPr>
            <w:tcW w:w="1134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  <w:gridSpan w:val="2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Bikarbonat (Ton)</w:t>
            </w:r>
          </w:p>
        </w:tc>
        <w:tc>
          <w:tcPr>
            <w:tcW w:w="818" w:type="dxa"/>
            <w:gridSpan w:val="2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K.K.O.</w:t>
            </w: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7" w:type="dxa"/>
            <w:gridSpan w:val="2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Sodyum Silikat 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851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Sodyum</w:t>
            </w:r>
          </w:p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Bikromat         </w:t>
            </w:r>
          </w:p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(Ton)</w:t>
            </w:r>
          </w:p>
        </w:tc>
        <w:tc>
          <w:tcPr>
            <w:tcW w:w="1135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                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673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Carbonate (Tons)</w:t>
            </w:r>
          </w:p>
        </w:tc>
        <w:tc>
          <w:tcPr>
            <w:tcW w:w="1134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  <w:gridSpan w:val="2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Bicarbonate (Tons)</w:t>
            </w:r>
          </w:p>
        </w:tc>
        <w:tc>
          <w:tcPr>
            <w:tcW w:w="850" w:type="dxa"/>
            <w:gridSpan w:val="3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Silicate (Tons)</w:t>
            </w:r>
          </w:p>
        </w:tc>
        <w:tc>
          <w:tcPr>
            <w:tcW w:w="851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Dichromate (Tons)</w:t>
            </w:r>
          </w:p>
        </w:tc>
        <w:tc>
          <w:tcPr>
            <w:tcW w:w="1135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134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742.087</w:t>
            </w:r>
          </w:p>
        </w:tc>
        <w:tc>
          <w:tcPr>
            <w:tcW w:w="1134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  <w:gridSpan w:val="2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98.22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0" w:type="dxa"/>
            <w:gridSpan w:val="3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5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28.648</w:t>
            </w:r>
          </w:p>
        </w:tc>
        <w:tc>
          <w:tcPr>
            <w:tcW w:w="851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48.303</w:t>
            </w:r>
          </w:p>
        </w:tc>
        <w:tc>
          <w:tcPr>
            <w:tcW w:w="1135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134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722.382</w:t>
            </w:r>
          </w:p>
        </w:tc>
        <w:tc>
          <w:tcPr>
            <w:tcW w:w="1134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  <w:gridSpan w:val="2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101.700</w:t>
            </w:r>
          </w:p>
        </w:tc>
        <w:tc>
          <w:tcPr>
            <w:tcW w:w="850" w:type="dxa"/>
            <w:gridSpan w:val="3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5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22.065</w:t>
            </w:r>
          </w:p>
        </w:tc>
        <w:tc>
          <w:tcPr>
            <w:tcW w:w="851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47.100</w:t>
            </w:r>
          </w:p>
        </w:tc>
        <w:tc>
          <w:tcPr>
            <w:tcW w:w="1135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3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Sülfat (Ton)</w:t>
            </w:r>
          </w:p>
        </w:tc>
        <w:tc>
          <w:tcPr>
            <w:tcW w:w="1134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  <w:gridSpan w:val="2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Tankrom </w:t>
            </w: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0" w:type="dxa"/>
            <w:gridSpan w:val="3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(Ton)</w:t>
            </w:r>
          </w:p>
        </w:tc>
        <w:tc>
          <w:tcPr>
            <w:tcW w:w="851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Kromik Asit (Ton)</w:t>
            </w:r>
          </w:p>
        </w:tc>
        <w:tc>
          <w:tcPr>
            <w:tcW w:w="1135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                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</w:tcPr>
          <w:p w:rsidR="00000000" w:rsidRDefault="00710F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Sodium Sulphate (Tons)</w:t>
            </w:r>
          </w:p>
        </w:tc>
        <w:tc>
          <w:tcPr>
            <w:tcW w:w="1134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  <w:gridSpan w:val="2"/>
          </w:tcPr>
          <w:p w:rsidR="00000000" w:rsidRDefault="00710F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Basic Chromium Sulphate (Tons)</w:t>
            </w:r>
          </w:p>
        </w:tc>
        <w:tc>
          <w:tcPr>
            <w:tcW w:w="850" w:type="dxa"/>
            <w:gridSpan w:val="3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:rsidR="00000000" w:rsidRDefault="00710F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Resintan M (Tons)</w:t>
            </w:r>
          </w:p>
        </w:tc>
        <w:tc>
          <w:tcPr>
            <w:tcW w:w="851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710F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Chromic Acid (Tons)</w:t>
            </w:r>
          </w:p>
        </w:tc>
        <w:tc>
          <w:tcPr>
            <w:tcW w:w="1135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(%)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134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46.160</w:t>
            </w:r>
          </w:p>
        </w:tc>
        <w:tc>
          <w:tcPr>
            <w:tcW w:w="1134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418" w:type="dxa"/>
            <w:gridSpan w:val="2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62.107</w:t>
            </w:r>
          </w:p>
        </w:tc>
        <w:tc>
          <w:tcPr>
            <w:tcW w:w="850" w:type="dxa"/>
            <w:gridSpan w:val="3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94</w:t>
            </w:r>
          </w:p>
        </w:tc>
        <w:tc>
          <w:tcPr>
            <w:tcW w:w="1135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32</w:t>
            </w:r>
          </w:p>
        </w:tc>
        <w:tc>
          <w:tcPr>
            <w:tcW w:w="851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100</w:t>
            </w:r>
          </w:p>
        </w:tc>
        <w:tc>
          <w:tcPr>
            <w:tcW w:w="1276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11.828</w:t>
            </w:r>
          </w:p>
        </w:tc>
        <w:tc>
          <w:tcPr>
            <w:tcW w:w="1135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134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48.498</w:t>
            </w:r>
          </w:p>
        </w:tc>
        <w:tc>
          <w:tcPr>
            <w:tcW w:w="1134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418" w:type="dxa"/>
            <w:gridSpan w:val="2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71.274</w:t>
            </w:r>
          </w:p>
        </w:tc>
        <w:tc>
          <w:tcPr>
            <w:tcW w:w="850" w:type="dxa"/>
            <w:gridSpan w:val="3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94</w:t>
            </w:r>
          </w:p>
        </w:tc>
        <w:tc>
          <w:tcPr>
            <w:tcW w:w="1135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57</w:t>
            </w:r>
          </w:p>
        </w:tc>
        <w:tc>
          <w:tcPr>
            <w:tcW w:w="851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100</w:t>
            </w:r>
          </w:p>
        </w:tc>
        <w:tc>
          <w:tcPr>
            <w:tcW w:w="1276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9.779</w:t>
            </w:r>
          </w:p>
        </w:tc>
        <w:tc>
          <w:tcPr>
            <w:tcW w:w="1135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81</w:t>
            </w:r>
          </w:p>
        </w:tc>
      </w:tr>
    </w:tbl>
    <w:p w:rsidR="00000000" w:rsidRDefault="00710F4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10F4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10F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0F4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710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10F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0F4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710F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10F4E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675"/>
        <w:gridCol w:w="1134"/>
        <w:gridCol w:w="1134"/>
        <w:gridCol w:w="993"/>
        <w:gridCol w:w="311"/>
        <w:gridCol w:w="823"/>
        <w:gridCol w:w="311"/>
        <w:gridCol w:w="681"/>
        <w:gridCol w:w="992"/>
        <w:gridCol w:w="1134"/>
        <w:gridCol w:w="1134"/>
        <w:gridCol w:w="306"/>
        <w:gridCol w:w="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Karbonat (</w:t>
            </w:r>
            <w:r>
              <w:rPr>
                <w:rFonts w:ascii="Arial" w:hAnsi="Arial"/>
                <w:b/>
                <w:sz w:val="16"/>
              </w:rPr>
              <w:t>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Bikarbonat (Ton)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Silikat (Ton)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Bikromat (Ton)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Sülfür (Ton)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Sülfat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Tankrom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Kromik Asit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Carbonate (Tons)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ind w:right="-257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Bicarbonate (Tons)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Silicate (Tons)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Dichromate (T</w:t>
            </w:r>
            <w:r>
              <w:rPr>
                <w:rFonts w:ascii="Arial" w:hAnsi="Arial"/>
                <w:b/>
                <w:sz w:val="16"/>
              </w:rPr>
              <w:t>ons)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Sulphide (Tons)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Sulphate (Tons)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Basic Chromium Sulphate (Tons)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(Tons)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Chromic Acid</w:t>
            </w:r>
          </w:p>
          <w:p w:rsidR="00000000" w:rsidRDefault="00710F4E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906.518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 101.635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28.766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8.497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5.261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29.315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65.435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38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11.203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911.083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  104.300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25.356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11.299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4.937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47.433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59.665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 51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710F4E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11.20</w:t>
            </w:r>
            <w:r>
              <w:rPr>
                <w:rFonts w:ascii="Arial" w:eastAsia="Arial Unicode MS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0348" w:type="dxa"/>
            <w:gridSpan w:val="14"/>
          </w:tcPr>
          <w:p w:rsidR="00000000" w:rsidRDefault="00710F4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4" w:type="dxa"/>
          <w:wAfter w:w="686" w:type="dxa"/>
          <w:cantSplit/>
        </w:trPr>
        <w:tc>
          <w:tcPr>
            <w:tcW w:w="4247" w:type="dxa"/>
            <w:gridSpan w:val="5"/>
          </w:tcPr>
          <w:p w:rsidR="00000000" w:rsidRDefault="00710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  <w:gridSpan w:val="2"/>
          </w:tcPr>
          <w:p w:rsidR="00000000" w:rsidRDefault="00710F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47" w:type="dxa"/>
            <w:gridSpan w:val="5"/>
          </w:tcPr>
          <w:p w:rsidR="00000000" w:rsidRDefault="00710F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10F4E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3"/>
        <w:gridCol w:w="1810"/>
        <w:gridCol w:w="2127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710F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İhracat </w:t>
            </w:r>
            <w:r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2268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710F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710F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710F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710F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710F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</w:tcPr>
          <w:p w:rsidR="00000000" w:rsidRDefault="00710F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80.820.277,00</w:t>
            </w:r>
          </w:p>
          <w:p w:rsidR="00000000" w:rsidRDefault="00710F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60.027.822,00</w:t>
            </w:r>
          </w:p>
        </w:tc>
        <w:tc>
          <w:tcPr>
            <w:tcW w:w="2127" w:type="dxa"/>
          </w:tcPr>
          <w:p w:rsidR="00000000" w:rsidRDefault="00710F4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84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158.290.217,00           </w:t>
            </w:r>
          </w:p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117.886.103</w:t>
            </w:r>
          </w:p>
        </w:tc>
        <w:tc>
          <w:tcPr>
            <w:tcW w:w="2268" w:type="dxa"/>
          </w:tcPr>
          <w:p w:rsidR="00000000" w:rsidRDefault="00710F4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2004 </w:t>
            </w:r>
          </w:p>
        </w:tc>
        <w:tc>
          <w:tcPr>
            <w:tcW w:w="1810" w:type="dxa"/>
          </w:tcPr>
          <w:p w:rsidR="00000000" w:rsidRDefault="00710F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67.859.850,03</w:t>
            </w:r>
          </w:p>
          <w:p w:rsidR="00000000" w:rsidRDefault="00710F4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49.988.305,00</w:t>
            </w:r>
          </w:p>
        </w:tc>
        <w:tc>
          <w:tcPr>
            <w:tcW w:w="2127" w:type="dxa"/>
          </w:tcPr>
          <w:p w:rsidR="00000000" w:rsidRDefault="00710F4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984" w:type="dxa"/>
          </w:tcPr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137.279.741,03</w:t>
            </w:r>
          </w:p>
          <w:p w:rsidR="00000000" w:rsidRDefault="00710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96.634.470</w:t>
            </w:r>
          </w:p>
        </w:tc>
        <w:tc>
          <w:tcPr>
            <w:tcW w:w="2268" w:type="dxa"/>
          </w:tcPr>
          <w:p w:rsidR="00000000" w:rsidRDefault="00710F4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</w:tbl>
    <w:p w:rsidR="00000000" w:rsidRDefault="00710F4E">
      <w:pPr>
        <w:rPr>
          <w:rFonts w:ascii="Arial" w:hAnsi="Arial"/>
          <w:b/>
          <w:sz w:val="16"/>
        </w:rPr>
      </w:pPr>
    </w:p>
    <w:p w:rsidR="00000000" w:rsidRDefault="00710F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10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10F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10F4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3"/>
        <w:gridCol w:w="2552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</w:t>
            </w:r>
            <w:r>
              <w:rPr>
                <w:rFonts w:ascii="Arial" w:hAnsi="Arial"/>
                <w:b/>
                <w:sz w:val="16"/>
              </w:rPr>
              <w:t>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(New TL)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(New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GELİŞTİRME YATIRIMLARI</w:t>
            </w:r>
          </w:p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IMPROVEMENT INVESTMENTS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01.01.2005-31.12.2005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1.540.284,00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1.540.284,00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İDAME YATIRIMLARI</w:t>
            </w:r>
          </w:p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REPLACEMENT INVESTMENTS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01.01.2005-31.12.2005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2.232.818,00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2.232.284,00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693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</w:p>
        </w:tc>
        <w:tc>
          <w:tcPr>
            <w:tcW w:w="2552" w:type="dxa"/>
          </w:tcPr>
          <w:p w:rsidR="00000000" w:rsidRDefault="00710F4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710F4E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10F4E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710F4E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"/>
        <w:gridCol w:w="376"/>
        <w:gridCol w:w="3013"/>
        <w:gridCol w:w="432"/>
        <w:gridCol w:w="284"/>
        <w:gridCol w:w="241"/>
        <w:gridCol w:w="467"/>
        <w:gridCol w:w="667"/>
        <w:gridCol w:w="2367"/>
        <w:gridCol w:w="1024"/>
        <w:gridCol w:w="28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9" w:type="dxa"/>
          <w:wAfter w:w="289" w:type="dxa"/>
          <w:cantSplit/>
        </w:trPr>
        <w:tc>
          <w:tcPr>
            <w:tcW w:w="3821" w:type="dxa"/>
            <w:gridSpan w:val="3"/>
          </w:tcPr>
          <w:p w:rsidR="00000000" w:rsidRDefault="00710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992" w:type="dxa"/>
            <w:gridSpan w:val="3"/>
          </w:tcPr>
          <w:p w:rsidR="00000000" w:rsidRDefault="00710F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58" w:type="dxa"/>
            <w:gridSpan w:val="3"/>
          </w:tcPr>
          <w:p w:rsidR="00000000" w:rsidRDefault="00710F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</w:t>
            </w:r>
            <w:r>
              <w:rPr>
                <w:rFonts w:ascii="Arial" w:hAnsi="Arial"/>
                <w:i/>
                <w:sz w:val="16"/>
              </w:rPr>
              <w:t xml:space="preserve"> portion in their 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</w:p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1-DENİZLİ CAM SANAYİİ  VE TİCARET A.Ş.(*)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973.043,00.-YTL 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F4E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2-CAMİŞ ELEKTRİK ÜRETİMİ  A.Ş.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4.901,00.-YTL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F4E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3-OXYVİT KİMYA SANAYİİ  VE TİCARET A.Ş.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ind w:left="112" w:hanging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147.400,00.-YTL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F4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44</w:t>
            </w:r>
          </w:p>
          <w:p w:rsidR="00000000" w:rsidRDefault="00710F4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4-PAŞABAHÇE CAM SANAYİİ VE TİCARET A.Ş.(**)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9.510.835,00-YTL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F4E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5-SOLVAY ŞİŞECAM HOLDİNG A.G. (75.920.- EURO)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13.357.806,00.</w:t>
            </w:r>
            <w:r>
              <w:rPr>
                <w:rFonts w:ascii="Arial" w:hAnsi="Arial"/>
                <w:sz w:val="16"/>
              </w:rPr>
              <w:t>-YTL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F4E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21,44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6-ŞİŞECAM BULGARİA LTD. (5.000.-BGL)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490.00.-YTL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F4E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7-SISECAM SHANGHAI TRADING CO.(200.000 USD)</w:t>
            </w: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277.400,00.-YTL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F4E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425" w:type="dxa"/>
          <w:wAfter w:w="1313" w:type="dxa"/>
          <w:cantSplit/>
          <w:trHeight w:val="250"/>
        </w:trPr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8-CROMİTAL S.P.A</w:t>
            </w:r>
          </w:p>
          <w:p w:rsidR="00000000" w:rsidRDefault="00710F4E">
            <w:pPr>
              <w:rPr>
                <w:rFonts w:ascii="Arial" w:hAnsi="Arial"/>
                <w:sz w:val="16"/>
              </w:rPr>
            </w:pPr>
          </w:p>
        </w:tc>
        <w:tc>
          <w:tcPr>
            <w:tcW w:w="20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10F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2.171.610,- YTL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10F4E">
            <w:pPr>
              <w:ind w:right="51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2"/>
          <w:wAfter w:w="1313" w:type="dxa"/>
          <w:cantSplit/>
          <w:trHeight w:val="250"/>
        </w:trPr>
        <w:tc>
          <w:tcPr>
            <w:tcW w:w="7896" w:type="dxa"/>
            <w:gridSpan w:val="9"/>
          </w:tcPr>
          <w:p w:rsidR="00000000" w:rsidRDefault="00710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left="-171" w:right="-1231"/>
              <w:rPr>
                <w:rFonts w:ascii="Arial" w:hAnsi="Arial"/>
                <w:sz w:val="16"/>
              </w:rPr>
            </w:pPr>
          </w:p>
          <w:p w:rsidR="00000000" w:rsidRDefault="00710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left="-171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(*)Denizli Cam San. Ve Tic. A.Ş. iştirak payı nomin</w:t>
            </w:r>
            <w:r>
              <w:rPr>
                <w:rFonts w:ascii="Arial" w:hAnsi="Arial"/>
                <w:sz w:val="16"/>
              </w:rPr>
              <w:t>al değeridir.Kayıtlı değer ise 1.008.478,00.-YTL dir.</w:t>
            </w:r>
          </w:p>
          <w:p w:rsidR="00000000" w:rsidRDefault="00710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left="-171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(**)Paşabahçe Cam Sanayii ve Ticaret A.Ş. iştirak payı nominal değeridir.Kayıtlı değer ise 19.161.561,00-YTLdir.</w:t>
            </w:r>
          </w:p>
          <w:p w:rsidR="00000000" w:rsidRDefault="00710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left="-171"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9" w:type="dxa"/>
          <w:cantSplit/>
        </w:trPr>
        <w:tc>
          <w:tcPr>
            <w:tcW w:w="4105" w:type="dxa"/>
            <w:gridSpan w:val="4"/>
          </w:tcPr>
          <w:p w:rsidR="00000000" w:rsidRDefault="00710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241" w:type="dxa"/>
          </w:tcPr>
          <w:p w:rsidR="00000000" w:rsidRDefault="00710F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14" w:type="dxa"/>
            <w:gridSpan w:val="5"/>
          </w:tcPr>
          <w:p w:rsidR="00000000" w:rsidRDefault="00710F4E">
            <w:pPr>
              <w:tabs>
                <w:tab w:val="left" w:pos="742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</w:t>
            </w:r>
            <w:r>
              <w:rPr>
                <w:rFonts w:ascii="Arial" w:hAnsi="Arial"/>
                <w:i/>
                <w:sz w:val="16"/>
              </w:rPr>
              <w:t>in shareholders and their participations in the equity capital are shown below.</w:t>
            </w:r>
          </w:p>
        </w:tc>
      </w:tr>
    </w:tbl>
    <w:p w:rsidR="00000000" w:rsidRDefault="00710F4E">
      <w:pPr>
        <w:rPr>
          <w:rFonts w:ascii="Arial" w:hAnsi="Arial"/>
          <w:sz w:val="16"/>
        </w:rPr>
      </w:pPr>
    </w:p>
    <w:p w:rsidR="00000000" w:rsidRDefault="00710F4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9"/>
        <w:gridCol w:w="2700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710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700" w:type="dxa"/>
          </w:tcPr>
          <w:p w:rsidR="00000000" w:rsidRDefault="00710F4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1843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Share Holders</w:t>
            </w:r>
          </w:p>
        </w:tc>
        <w:tc>
          <w:tcPr>
            <w:tcW w:w="2700" w:type="dxa"/>
            <w:vAlign w:val="bottom"/>
          </w:tcPr>
          <w:p w:rsidR="00000000" w:rsidRDefault="00710F4E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(New TL)</w:t>
            </w:r>
          </w:p>
        </w:tc>
        <w:tc>
          <w:tcPr>
            <w:tcW w:w="1843" w:type="dxa"/>
          </w:tcPr>
          <w:p w:rsidR="00000000" w:rsidRDefault="00710F4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710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T.ŞİŞE VE CAM FAB. A.Ş.</w:t>
            </w:r>
          </w:p>
        </w:tc>
        <w:tc>
          <w:tcPr>
            <w:tcW w:w="2700" w:type="dxa"/>
            <w:vAlign w:val="bottom"/>
          </w:tcPr>
          <w:p w:rsidR="00000000" w:rsidRDefault="00710F4E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31.450.662,00</w:t>
            </w:r>
          </w:p>
        </w:tc>
        <w:tc>
          <w:tcPr>
            <w:tcW w:w="1843" w:type="dxa"/>
          </w:tcPr>
          <w:p w:rsidR="00000000" w:rsidRDefault="00710F4E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50,22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710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CAM SANAYİİ A.Ş.</w:t>
            </w:r>
          </w:p>
        </w:tc>
        <w:tc>
          <w:tcPr>
            <w:tcW w:w="2700" w:type="dxa"/>
            <w:vAlign w:val="bottom"/>
          </w:tcPr>
          <w:p w:rsidR="00000000" w:rsidRDefault="00710F4E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8.920.00</w:t>
            </w:r>
            <w:r>
              <w:rPr>
                <w:rFonts w:ascii="Arial" w:hAnsi="Arial"/>
                <w:snapToGrid w:val="0"/>
                <w:sz w:val="16"/>
                <w:lang w:val="en-US"/>
              </w:rPr>
              <w:t>0,00</w:t>
            </w:r>
          </w:p>
        </w:tc>
        <w:tc>
          <w:tcPr>
            <w:tcW w:w="1843" w:type="dxa"/>
          </w:tcPr>
          <w:p w:rsidR="00000000" w:rsidRDefault="00710F4E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710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EMEKLİLİK A.Ş.</w:t>
            </w:r>
          </w:p>
        </w:tc>
        <w:tc>
          <w:tcPr>
            <w:tcW w:w="2700" w:type="dxa"/>
            <w:vAlign w:val="bottom"/>
          </w:tcPr>
          <w:p w:rsidR="00000000" w:rsidRDefault="00710F4E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8.328,00</w:t>
            </w:r>
          </w:p>
        </w:tc>
        <w:tc>
          <w:tcPr>
            <w:tcW w:w="1843" w:type="dxa"/>
          </w:tcPr>
          <w:p w:rsidR="00000000" w:rsidRDefault="00710F4E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710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ANONİM TÜRK SİG. ŞİRK.</w:t>
            </w:r>
          </w:p>
        </w:tc>
        <w:tc>
          <w:tcPr>
            <w:tcW w:w="2700" w:type="dxa"/>
            <w:vAlign w:val="bottom"/>
          </w:tcPr>
          <w:p w:rsidR="00000000" w:rsidRDefault="00710F4E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12.271,00</w:t>
            </w:r>
          </w:p>
        </w:tc>
        <w:tc>
          <w:tcPr>
            <w:tcW w:w="1843" w:type="dxa"/>
          </w:tcPr>
          <w:p w:rsidR="00000000" w:rsidRDefault="00710F4E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710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 SAN. A.Ş.</w:t>
            </w:r>
          </w:p>
        </w:tc>
        <w:tc>
          <w:tcPr>
            <w:tcW w:w="2700" w:type="dxa"/>
            <w:vAlign w:val="bottom"/>
          </w:tcPr>
          <w:p w:rsidR="00000000" w:rsidRDefault="00710F4E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12.178.919,00</w:t>
            </w:r>
          </w:p>
        </w:tc>
        <w:tc>
          <w:tcPr>
            <w:tcW w:w="1843" w:type="dxa"/>
          </w:tcPr>
          <w:p w:rsidR="00000000" w:rsidRDefault="00710F4E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19,45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710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2700" w:type="dxa"/>
            <w:vAlign w:val="bottom"/>
          </w:tcPr>
          <w:p w:rsidR="00000000" w:rsidRDefault="00710F4E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23.913,00</w:t>
            </w:r>
          </w:p>
        </w:tc>
        <w:tc>
          <w:tcPr>
            <w:tcW w:w="1843" w:type="dxa"/>
          </w:tcPr>
          <w:p w:rsidR="00000000" w:rsidRDefault="00710F4E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710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 PAZARLAMA A.Ş.</w:t>
            </w:r>
          </w:p>
        </w:tc>
        <w:tc>
          <w:tcPr>
            <w:tcW w:w="2700" w:type="dxa"/>
            <w:vAlign w:val="bottom"/>
          </w:tcPr>
          <w:p w:rsidR="00000000" w:rsidRDefault="00710F4E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613.709,00</w:t>
            </w:r>
          </w:p>
        </w:tc>
        <w:tc>
          <w:tcPr>
            <w:tcW w:w="1843" w:type="dxa"/>
          </w:tcPr>
          <w:p w:rsidR="00000000" w:rsidRDefault="00710F4E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710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(HALKA AÇIK KISIM)</w:t>
            </w:r>
          </w:p>
        </w:tc>
        <w:tc>
          <w:tcPr>
            <w:tcW w:w="2700" w:type="dxa"/>
            <w:vAlign w:val="bottom"/>
          </w:tcPr>
          <w:p w:rsidR="00000000" w:rsidRDefault="00710F4E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9.422.198,00</w:t>
            </w:r>
          </w:p>
        </w:tc>
        <w:tc>
          <w:tcPr>
            <w:tcW w:w="1843" w:type="dxa"/>
          </w:tcPr>
          <w:p w:rsidR="00000000" w:rsidRDefault="00710F4E">
            <w:pPr>
              <w:jc w:val="right"/>
              <w:rPr>
                <w:rFonts w:ascii="Arial" w:hAnsi="Arial"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>15,04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9" w:type="dxa"/>
          </w:tcPr>
          <w:p w:rsidR="00000000" w:rsidRDefault="00710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</w:t>
            </w:r>
          </w:p>
        </w:tc>
        <w:tc>
          <w:tcPr>
            <w:tcW w:w="2700" w:type="dxa"/>
          </w:tcPr>
          <w:p w:rsidR="00000000" w:rsidRDefault="00710F4E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62.630.000,00</w:t>
            </w:r>
          </w:p>
        </w:tc>
        <w:tc>
          <w:tcPr>
            <w:tcW w:w="1843" w:type="dxa"/>
          </w:tcPr>
          <w:p w:rsidR="00000000" w:rsidRDefault="00710F4E">
            <w:pPr>
              <w:jc w:val="right"/>
              <w:rPr>
                <w:rFonts w:ascii="Arial" w:hAnsi="Arial"/>
                <w:b/>
                <w:snapToGrid w:val="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US"/>
              </w:rPr>
              <w:t>100,00</w:t>
            </w:r>
          </w:p>
        </w:tc>
      </w:tr>
    </w:tbl>
    <w:p w:rsidR="00000000" w:rsidRDefault="00710F4E">
      <w:pPr>
        <w:jc w:val="both"/>
        <w:rPr>
          <w:rFonts w:ascii="Arial" w:hAnsi="Arial"/>
          <w:sz w:val="16"/>
        </w:rPr>
      </w:pPr>
    </w:p>
    <w:p w:rsidR="00000000" w:rsidRDefault="00710F4E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352" w:bottom="567" w:left="56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D2D"/>
    <w:multiLevelType w:val="hybridMultilevel"/>
    <w:tmpl w:val="6C080A88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1E1DFD"/>
    <w:multiLevelType w:val="hybridMultilevel"/>
    <w:tmpl w:val="1E5AE05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6323336">
    <w:abstractNumId w:val="1"/>
  </w:num>
  <w:num w:numId="2" w16cid:durableId="179695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F4E"/>
    <w:rsid w:val="0071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56F6C-2C7B-4CD8-AFFD-60B77087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framePr w:hSpace="141" w:wrap="around" w:vAnchor="text" w:hAnchor="margin" w:xAlign="center" w:y="-57"/>
      <w:jc w:val="right"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2006-05-12T18:27:00Z</cp:lastPrinted>
  <dcterms:created xsi:type="dcterms:W3CDTF">2022-09-01T21:36:00Z</dcterms:created>
  <dcterms:modified xsi:type="dcterms:W3CDTF">2022-09-01T21:36:00Z</dcterms:modified>
</cp:coreProperties>
</file>