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390A">
            <w:pPr>
              <w:pStyle w:val="Heading2"/>
            </w:pPr>
            <w:r>
              <w:t>ARENA BİLGİSAYAR SANAYİ VE TİCARET A.Ş.</w:t>
            </w:r>
          </w:p>
        </w:tc>
      </w:tr>
    </w:tbl>
    <w:p w:rsidR="00000000" w:rsidRDefault="00D5390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9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539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39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18/09/1991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9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539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539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September 18, 1991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9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539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390A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ŞİRKET, YURTİÇİ VE YURTDIŞI SATICILARDAN TEDARİK ETTİĞİ BİLGİSAYAR DONANIMI, YAZILIM ÜRÜNLERİ, TÜKETİCİ ELEKTRONİĞİ VE YEDEK PARÇ</w:t>
            </w:r>
            <w:r>
              <w:rPr>
                <w:rFonts w:ascii="Arial" w:hAnsi="Arial"/>
                <w:color w:val="000000"/>
                <w:sz w:val="16"/>
              </w:rPr>
              <w:t xml:space="preserve">ALARININ YURTİÇİNDE SATIŞ, DAĞITIM VE BAKIM-ONARIM HİZMETLERİNİ VERMEKTEDİR.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9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539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5390A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THE COMPANY PURCHASES  HARDWARE, SOFTWARE, INFORMATION TECHNOLOGY, CONSUMER ELECTRONIC PRODUCTS SOLD BOTH FROM DOMESTIC NAD INTERNATIONAL SUPPLIERS AND SEL</w:t>
            </w:r>
            <w:r>
              <w:rPr>
                <w:rFonts w:ascii="Arial" w:hAnsi="Arial"/>
                <w:color w:val="000000"/>
                <w:sz w:val="16"/>
              </w:rPr>
              <w:t>LS THEM TO RESELLERS IN THE DOMESTIC TURKISH MARKET THROUGH ITS DISTRIBUTION NETWORK.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9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539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39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CADDESİ NO:96 KEMERBURGAZ-EYÜP/İSTANBUL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9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539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539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9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539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39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İZİ KOHEN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9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539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539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9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539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39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BETİL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9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(Board of </w:t>
            </w:r>
            <w:r>
              <w:rPr>
                <w:rFonts w:ascii="Arial" w:hAnsi="Arial"/>
                <w:b/>
                <w:color w:val="000000"/>
                <w:sz w:val="16"/>
              </w:rPr>
              <w:t>Directors)</w:t>
            </w:r>
          </w:p>
        </w:tc>
        <w:tc>
          <w:tcPr>
            <w:tcW w:w="142" w:type="dxa"/>
          </w:tcPr>
          <w:p w:rsidR="00000000" w:rsidRDefault="00D539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539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UMUR SERTER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9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539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539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İZİ KOHEN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9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539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539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ALVİ MAZON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9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539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539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9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539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539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9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539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39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0212 364 64 64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9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539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539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+90 212 364 64 64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9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539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39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0212 360 02</w:t>
            </w:r>
            <w:r>
              <w:rPr>
                <w:rFonts w:ascii="Arial" w:hAnsi="Arial"/>
                <w:color w:val="000000"/>
                <w:sz w:val="16"/>
              </w:rPr>
              <w:t xml:space="preserve">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9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539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539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+90 212 360 02 90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9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D539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39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9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D539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39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31.12.2006 İTİBARİYLE PERSONEL SAYISI 262’DİR.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9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539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539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THE NUMBER OF EMPLOYEES’ ARE 262 AS AT 31.12.2006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9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539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39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BULUNMAMAKTADIR.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9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</w:t>
            </w:r>
            <w:r>
              <w:rPr>
                <w:rFonts w:ascii="Arial" w:hAnsi="Arial"/>
                <w:b/>
                <w:color w:val="000000"/>
                <w:sz w:val="16"/>
              </w:rPr>
              <w:t>e Bargaining Period)</w:t>
            </w:r>
          </w:p>
        </w:tc>
        <w:tc>
          <w:tcPr>
            <w:tcW w:w="142" w:type="dxa"/>
          </w:tcPr>
          <w:p w:rsidR="00000000" w:rsidRDefault="00D539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539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NOT APPLICABLE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9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539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39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BULUNMAMAKTADIR.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9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539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539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NOT APPLICABLE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9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539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39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BULUNMAMAKTADIR.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9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539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539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NOT APPLICABLE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90A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D5390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390A">
            <w:pPr>
              <w:pStyle w:val="Heading1"/>
              <w:rPr>
                <w:i w:val="0"/>
                <w:color w:val="000000"/>
                <w:lang w:val="tr-TR"/>
              </w:rPr>
            </w:pPr>
            <w:r>
              <w:rPr>
                <w:i w:val="0"/>
                <w:color w:val="000000"/>
                <w:lang w:val="tr-TR"/>
              </w:rPr>
              <w:t>16.000.000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90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pital)</w:t>
            </w:r>
          </w:p>
        </w:tc>
        <w:tc>
          <w:tcPr>
            <w:tcW w:w="142" w:type="dxa"/>
          </w:tcPr>
          <w:p w:rsidR="00000000" w:rsidRDefault="00D5390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539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9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539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39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39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539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539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D5390A">
      <w:pPr>
        <w:rPr>
          <w:rFonts w:ascii="Arial" w:hAnsi="Arial"/>
          <w:sz w:val="16"/>
        </w:rPr>
      </w:pPr>
    </w:p>
    <w:p w:rsidR="00000000" w:rsidRDefault="00D5390A">
      <w:pPr>
        <w:rPr>
          <w:rFonts w:ascii="Arial" w:hAnsi="Arial"/>
          <w:sz w:val="16"/>
        </w:rPr>
      </w:pPr>
    </w:p>
    <w:p w:rsidR="00000000" w:rsidRDefault="00D5390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5390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D539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539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D5390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5390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5390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</w:t>
            </w:r>
            <w:r>
              <w:rPr>
                <w:rFonts w:ascii="Arial TUR" w:hAnsi="Arial TUR"/>
                <w:b/>
                <w:sz w:val="16"/>
              </w:rPr>
              <w:t>çü birimi)</w:t>
            </w:r>
          </w:p>
        </w:tc>
        <w:tc>
          <w:tcPr>
            <w:tcW w:w="806" w:type="dxa"/>
          </w:tcPr>
          <w:p w:rsidR="00000000" w:rsidRDefault="00D539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539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D5390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D539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539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D5390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D539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539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539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5390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:rsidR="00000000" w:rsidRDefault="00D539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539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D5390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D539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539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D5390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D539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539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539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D5390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806" w:type="dxa"/>
          </w:tcPr>
          <w:p w:rsidR="00000000" w:rsidRDefault="00D539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D5390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D539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D5390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D539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D5390A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D5390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D5390A">
      <w:pPr>
        <w:rPr>
          <w:rFonts w:ascii="Arial" w:hAnsi="Arial"/>
          <w:sz w:val="16"/>
        </w:rPr>
      </w:pPr>
    </w:p>
    <w:p w:rsidR="00000000" w:rsidRDefault="00D5390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5390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</w:t>
            </w:r>
            <w:r>
              <w:rPr>
                <w:rFonts w:ascii="Arial TUR" w:hAnsi="Arial TUR"/>
                <w:sz w:val="16"/>
              </w:rPr>
              <w:t>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D539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539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D5390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5390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539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Donanım (adet)</w:t>
            </w:r>
          </w:p>
        </w:tc>
        <w:tc>
          <w:tcPr>
            <w:tcW w:w="1990" w:type="dxa"/>
          </w:tcPr>
          <w:p w:rsidR="00000000" w:rsidRDefault="00D5390A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D5390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Yazılım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539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5390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Hardwrae </w:t>
            </w:r>
            <w:bookmarkStart w:id="0" w:name="OLE_LINK1"/>
            <w:r>
              <w:rPr>
                <w:rFonts w:ascii="Arial TUR" w:hAnsi="Arial TUR"/>
                <w:b/>
                <w:i/>
                <w:sz w:val="16"/>
                <w:u w:val="single"/>
              </w:rPr>
              <w:t>(quantity)</w:t>
            </w:r>
            <w:bookmarkEnd w:id="0"/>
          </w:p>
        </w:tc>
        <w:tc>
          <w:tcPr>
            <w:tcW w:w="1990" w:type="dxa"/>
          </w:tcPr>
          <w:p w:rsidR="00000000" w:rsidRDefault="00D5390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D5390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Software (quantity)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539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D5390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5.212.633</w:t>
            </w:r>
          </w:p>
        </w:tc>
        <w:tc>
          <w:tcPr>
            <w:tcW w:w="1990" w:type="dxa"/>
          </w:tcPr>
          <w:p w:rsidR="00000000" w:rsidRDefault="00D5390A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D5390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311.018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539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D5390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4.349.964</w:t>
            </w:r>
          </w:p>
        </w:tc>
        <w:tc>
          <w:tcPr>
            <w:tcW w:w="1990" w:type="dxa"/>
          </w:tcPr>
          <w:p w:rsidR="00000000" w:rsidRDefault="00D5390A">
            <w:pPr>
              <w:ind w:right="459"/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1908" w:type="dxa"/>
          </w:tcPr>
          <w:p w:rsidR="00000000" w:rsidRDefault="00D5390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275.091</w:t>
            </w:r>
          </w:p>
        </w:tc>
      </w:tr>
    </w:tbl>
    <w:p w:rsidR="00000000" w:rsidRDefault="00D5390A">
      <w:pPr>
        <w:rPr>
          <w:rFonts w:ascii="Arial" w:hAnsi="Arial"/>
          <w:sz w:val="16"/>
        </w:rPr>
      </w:pPr>
    </w:p>
    <w:p w:rsidR="00000000" w:rsidRDefault="00D5390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5390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D539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539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D5390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23"/>
        <w:gridCol w:w="2410"/>
        <w:gridCol w:w="163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539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23" w:type="dxa"/>
          </w:tcPr>
          <w:p w:rsidR="00000000" w:rsidRDefault="00D5390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D5390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</w:t>
            </w:r>
            <w:r>
              <w:rPr>
                <w:rFonts w:ascii="Arial TUR" w:hAnsi="Arial TUR"/>
                <w:b/>
                <w:color w:val="000000"/>
                <w:sz w:val="16"/>
              </w:rPr>
              <w:t>ndeki Payı(%)</w:t>
            </w:r>
          </w:p>
        </w:tc>
        <w:tc>
          <w:tcPr>
            <w:tcW w:w="1639" w:type="dxa"/>
          </w:tcPr>
          <w:p w:rsidR="00000000" w:rsidRDefault="00D5390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D5390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539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23" w:type="dxa"/>
          </w:tcPr>
          <w:p w:rsidR="00000000" w:rsidRDefault="00D539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D539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639" w:type="dxa"/>
          </w:tcPr>
          <w:p w:rsidR="00000000" w:rsidRDefault="00D539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D539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539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623" w:type="dxa"/>
          </w:tcPr>
          <w:p w:rsidR="00000000" w:rsidRDefault="00D5390A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124.391.076 YTL</w:t>
            </w:r>
          </w:p>
          <w:p w:rsidR="00000000" w:rsidRDefault="00D5390A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88.496.781 $</w:t>
            </w:r>
          </w:p>
        </w:tc>
        <w:tc>
          <w:tcPr>
            <w:tcW w:w="2410" w:type="dxa"/>
          </w:tcPr>
          <w:p w:rsidR="00000000" w:rsidRDefault="00D5390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</w:t>
            </w:r>
          </w:p>
        </w:tc>
        <w:tc>
          <w:tcPr>
            <w:tcW w:w="1639" w:type="dxa"/>
          </w:tcPr>
          <w:p w:rsidR="00000000" w:rsidRDefault="00D5390A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7.287.957 YTL</w:t>
            </w:r>
          </w:p>
          <w:p w:rsidR="00000000" w:rsidRDefault="00D5390A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5.184.944 $</w:t>
            </w:r>
          </w:p>
        </w:tc>
        <w:tc>
          <w:tcPr>
            <w:tcW w:w="2269" w:type="dxa"/>
          </w:tcPr>
          <w:p w:rsidR="00000000" w:rsidRDefault="00D5390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539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623" w:type="dxa"/>
          </w:tcPr>
          <w:p w:rsidR="00000000" w:rsidRDefault="00D5390A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98.542.122 YTL</w:t>
            </w:r>
          </w:p>
          <w:p w:rsidR="00000000" w:rsidRDefault="00D5390A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73.440.246 $</w:t>
            </w:r>
          </w:p>
        </w:tc>
        <w:tc>
          <w:tcPr>
            <w:tcW w:w="2410" w:type="dxa"/>
          </w:tcPr>
          <w:p w:rsidR="00000000" w:rsidRDefault="00D5390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</w:t>
            </w:r>
          </w:p>
        </w:tc>
        <w:tc>
          <w:tcPr>
            <w:tcW w:w="1639" w:type="dxa"/>
          </w:tcPr>
          <w:p w:rsidR="00000000" w:rsidRDefault="00D5390A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5.053.206 YTL</w:t>
            </w:r>
          </w:p>
          <w:p w:rsidR="00000000" w:rsidRDefault="00D5390A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3.76</w:t>
            </w:r>
            <w:r>
              <w:rPr>
                <w:rFonts w:ascii="Arial" w:hAnsi="Arial"/>
                <w:color w:val="000000"/>
                <w:sz w:val="16"/>
              </w:rPr>
              <w:t>5.991 $</w:t>
            </w:r>
          </w:p>
        </w:tc>
        <w:tc>
          <w:tcPr>
            <w:tcW w:w="2269" w:type="dxa"/>
          </w:tcPr>
          <w:p w:rsidR="00000000" w:rsidRDefault="00D5390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</w:t>
            </w:r>
          </w:p>
        </w:tc>
      </w:tr>
    </w:tbl>
    <w:p w:rsidR="00000000" w:rsidRDefault="00D5390A">
      <w:pPr>
        <w:rPr>
          <w:rFonts w:ascii="Arial" w:hAnsi="Arial"/>
          <w:b/>
          <w:u w:val="single"/>
        </w:rPr>
      </w:pPr>
    </w:p>
    <w:p w:rsidR="00000000" w:rsidRDefault="00D5390A">
      <w:pPr>
        <w:rPr>
          <w:rFonts w:ascii="Arial" w:hAnsi="Arial"/>
          <w:color w:val="FF0000"/>
          <w:sz w:val="16"/>
        </w:rPr>
      </w:pPr>
    </w:p>
    <w:p w:rsidR="00000000" w:rsidRDefault="00D5390A">
      <w:pPr>
        <w:rPr>
          <w:rFonts w:ascii="Arial" w:hAnsi="Arial"/>
          <w:sz w:val="16"/>
        </w:rPr>
      </w:pPr>
    </w:p>
    <w:p w:rsidR="00000000" w:rsidRDefault="00D5390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5390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D5390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539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D5390A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5390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D5390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D5390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D5390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539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</w:t>
            </w:r>
            <w:r>
              <w:rPr>
                <w:rFonts w:ascii="Arial TUR" w:hAnsi="Arial TUR"/>
                <w:b/>
                <w:color w:val="000000"/>
                <w:sz w:val="16"/>
              </w:rPr>
              <w:t>ar</w:t>
            </w:r>
          </w:p>
        </w:tc>
        <w:tc>
          <w:tcPr>
            <w:tcW w:w="2043" w:type="dxa"/>
          </w:tcPr>
          <w:p w:rsidR="00000000" w:rsidRDefault="00D539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D539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D539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5390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D539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D539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D539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539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Göktürk İdari Ofis Binası</w:t>
            </w:r>
          </w:p>
        </w:tc>
        <w:tc>
          <w:tcPr>
            <w:tcW w:w="2043" w:type="dxa"/>
          </w:tcPr>
          <w:p w:rsidR="00000000" w:rsidRDefault="00D5390A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Kasım 2006- Haziran 2007</w:t>
            </w:r>
          </w:p>
        </w:tc>
        <w:tc>
          <w:tcPr>
            <w:tcW w:w="2214" w:type="dxa"/>
          </w:tcPr>
          <w:p w:rsidR="00000000" w:rsidRDefault="00D5390A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1.610.333</w:t>
            </w:r>
          </w:p>
        </w:tc>
        <w:tc>
          <w:tcPr>
            <w:tcW w:w="1843" w:type="dxa"/>
          </w:tcPr>
          <w:p w:rsidR="00000000" w:rsidRDefault="00D5390A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D5390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5390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sermayesi içindeki payı a</w:t>
            </w:r>
            <w:r>
              <w:rPr>
                <w:rFonts w:ascii="Arial TUR" w:hAnsi="Arial TUR"/>
                <w:sz w:val="16"/>
              </w:rPr>
              <w:t xml:space="preserve">şağıda gösterilmektedir. </w:t>
            </w:r>
          </w:p>
        </w:tc>
        <w:tc>
          <w:tcPr>
            <w:tcW w:w="1134" w:type="dxa"/>
          </w:tcPr>
          <w:p w:rsidR="00000000" w:rsidRDefault="00D539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539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D5390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39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39" w:type="dxa"/>
          </w:tcPr>
          <w:p w:rsidR="00000000" w:rsidRDefault="00D539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D5390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D5390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39" w:type="dxa"/>
          </w:tcPr>
          <w:p w:rsidR="00000000" w:rsidRDefault="00D5390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D539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D539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39" w:type="dxa"/>
          </w:tcPr>
          <w:p w:rsidR="00000000" w:rsidRDefault="00D539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ARENA BİLGİSAYAR LTD.ŞTİ. (Tasf</w:t>
            </w:r>
            <w:r>
              <w:rPr>
                <w:rFonts w:ascii="Arial" w:hAnsi="Arial"/>
                <w:color w:val="000000"/>
                <w:sz w:val="16"/>
              </w:rPr>
              <w:t>iye halinde)</w:t>
            </w:r>
          </w:p>
        </w:tc>
        <w:tc>
          <w:tcPr>
            <w:tcW w:w="2304" w:type="dxa"/>
          </w:tcPr>
          <w:p w:rsidR="00000000" w:rsidRDefault="00D539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         YTL</w:t>
            </w:r>
          </w:p>
        </w:tc>
        <w:tc>
          <w:tcPr>
            <w:tcW w:w="2342" w:type="dxa"/>
          </w:tcPr>
          <w:p w:rsidR="00000000" w:rsidRDefault="00D5390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99,6</w:t>
            </w:r>
          </w:p>
        </w:tc>
      </w:tr>
    </w:tbl>
    <w:p w:rsidR="00000000" w:rsidRDefault="00D5390A">
      <w:pPr>
        <w:rPr>
          <w:rFonts w:ascii="Arial" w:hAnsi="Arial"/>
          <w:color w:val="FF0000"/>
          <w:sz w:val="16"/>
        </w:rPr>
      </w:pPr>
    </w:p>
    <w:p w:rsidR="00000000" w:rsidRDefault="00D5390A">
      <w:pPr>
        <w:rPr>
          <w:rFonts w:ascii="Arial" w:hAnsi="Arial"/>
          <w:color w:val="FF0000"/>
          <w:sz w:val="16"/>
        </w:rPr>
      </w:pPr>
    </w:p>
    <w:p w:rsidR="00000000" w:rsidRDefault="00D5390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5390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539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539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D5390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539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D539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D5390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5390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olders</w:t>
            </w:r>
          </w:p>
        </w:tc>
        <w:tc>
          <w:tcPr>
            <w:tcW w:w="1908" w:type="dxa"/>
          </w:tcPr>
          <w:p w:rsidR="00000000" w:rsidRDefault="00D539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D539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D5390A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539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BETİL</w:t>
            </w:r>
          </w:p>
        </w:tc>
        <w:tc>
          <w:tcPr>
            <w:tcW w:w="1892" w:type="dxa"/>
          </w:tcPr>
          <w:p w:rsidR="00000000" w:rsidRDefault="00D539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3.307.640</w:t>
            </w:r>
          </w:p>
        </w:tc>
        <w:tc>
          <w:tcPr>
            <w:tcW w:w="2410" w:type="dxa"/>
          </w:tcPr>
          <w:p w:rsidR="00000000" w:rsidRDefault="00D5390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539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İZİ KOHEN</w:t>
            </w:r>
          </w:p>
        </w:tc>
        <w:tc>
          <w:tcPr>
            <w:tcW w:w="1892" w:type="dxa"/>
          </w:tcPr>
          <w:p w:rsidR="00000000" w:rsidRDefault="00D539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3.020.000</w:t>
            </w:r>
          </w:p>
        </w:tc>
        <w:tc>
          <w:tcPr>
            <w:tcW w:w="2410" w:type="dxa"/>
          </w:tcPr>
          <w:p w:rsidR="00000000" w:rsidRDefault="00D5390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539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ALVİ MAZON</w:t>
            </w:r>
          </w:p>
        </w:tc>
        <w:tc>
          <w:tcPr>
            <w:tcW w:w="1892" w:type="dxa"/>
          </w:tcPr>
          <w:p w:rsidR="00000000" w:rsidRDefault="00D539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1.779.000</w:t>
            </w:r>
          </w:p>
        </w:tc>
        <w:tc>
          <w:tcPr>
            <w:tcW w:w="2410" w:type="dxa"/>
          </w:tcPr>
          <w:p w:rsidR="00000000" w:rsidRDefault="00D5390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539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UMUR SERTER</w:t>
            </w:r>
          </w:p>
        </w:tc>
        <w:tc>
          <w:tcPr>
            <w:tcW w:w="1892" w:type="dxa"/>
          </w:tcPr>
          <w:p w:rsidR="00000000" w:rsidRDefault="00D539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1.779.000</w:t>
            </w:r>
          </w:p>
        </w:tc>
        <w:tc>
          <w:tcPr>
            <w:tcW w:w="2410" w:type="dxa"/>
          </w:tcPr>
          <w:p w:rsidR="00000000" w:rsidRDefault="00D5390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539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</w:t>
            </w:r>
          </w:p>
        </w:tc>
        <w:tc>
          <w:tcPr>
            <w:tcW w:w="1892" w:type="dxa"/>
          </w:tcPr>
          <w:p w:rsidR="00000000" w:rsidRDefault="00D539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6.114.360</w:t>
            </w:r>
          </w:p>
        </w:tc>
        <w:tc>
          <w:tcPr>
            <w:tcW w:w="2410" w:type="dxa"/>
          </w:tcPr>
          <w:p w:rsidR="00000000" w:rsidRDefault="00D5390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38,21</w:t>
            </w:r>
          </w:p>
        </w:tc>
      </w:tr>
    </w:tbl>
    <w:p w:rsidR="00000000" w:rsidRDefault="00D5390A">
      <w:pPr>
        <w:jc w:val="both"/>
        <w:rPr>
          <w:rFonts w:ascii="Arial" w:hAnsi="Arial"/>
          <w:sz w:val="18"/>
        </w:rPr>
      </w:pPr>
    </w:p>
    <w:p w:rsidR="00000000" w:rsidRDefault="00D5390A">
      <w:pPr>
        <w:jc w:val="both"/>
        <w:rPr>
          <w:rFonts w:ascii="Arial" w:hAnsi="Arial"/>
          <w:sz w:val="18"/>
        </w:rPr>
      </w:pPr>
    </w:p>
    <w:p w:rsidR="00000000" w:rsidRDefault="00D5390A">
      <w:pPr>
        <w:jc w:val="both"/>
        <w:rPr>
          <w:rFonts w:ascii="Arial" w:hAnsi="Arial"/>
          <w:sz w:val="16"/>
        </w:rPr>
      </w:pPr>
    </w:p>
    <w:p w:rsidR="00000000" w:rsidRDefault="00D5390A">
      <w:pPr>
        <w:jc w:val="both"/>
        <w:rPr>
          <w:rFonts w:ascii="Arial" w:hAnsi="Arial"/>
          <w:sz w:val="16"/>
        </w:rPr>
      </w:pPr>
    </w:p>
    <w:p w:rsidR="00000000" w:rsidRDefault="00D5390A">
      <w:pPr>
        <w:ind w:right="-1231"/>
        <w:rPr>
          <w:rFonts w:ascii="Arial" w:hAnsi="Arial"/>
          <w:sz w:val="16"/>
        </w:rPr>
      </w:pPr>
    </w:p>
    <w:p w:rsidR="00000000" w:rsidRDefault="00D5390A">
      <w:pPr>
        <w:ind w:right="-1231"/>
        <w:rPr>
          <w:rFonts w:ascii="Arial" w:hAnsi="Arial"/>
          <w:sz w:val="16"/>
        </w:rPr>
      </w:pPr>
    </w:p>
    <w:p w:rsidR="00000000" w:rsidRDefault="00D539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390A"/>
    <w:rsid w:val="00D5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8153761-1B82-4959-B06B-4B2540BE3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2022-09-01T21:36:00Z</dcterms:created>
  <dcterms:modified xsi:type="dcterms:W3CDTF">2022-09-01T21:36:00Z</dcterms:modified>
</cp:coreProperties>
</file>