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08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YATIRIM HOLDİNG A.Ş.</w:t>
            </w:r>
          </w:p>
        </w:tc>
      </w:tr>
    </w:tbl>
    <w:p w:rsidR="00000000" w:rsidRDefault="0010008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01/06/1990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Şirket’in finans, enerji, altyapı, ve ulaştırma işletmeciliği alanında kurulmuş veya kurulacak olan şirketlerin sermaye ve yönetimine katılarak bunların</w:t>
            </w:r>
            <w:r>
              <w:rPr>
                <w:rFonts w:ascii="Arial" w:hAnsi="Arial"/>
                <w:sz w:val="16"/>
              </w:rPr>
              <w:t xml:space="preserve"> yatırım, finansman, organizasyon ve yönetim meselelerini toplu bir bünye içerisinde ekonomik dalgalanmalara karşı yatırım güvenliğini arttırmak ve böylece bu şirketlerin sağlıklı şekilde ve milli ekonominin gereklerine uygun olarak gelişmelerini ve devaml</w:t>
            </w:r>
            <w:r>
              <w:rPr>
                <w:rFonts w:ascii="Arial" w:hAnsi="Arial"/>
                <w:sz w:val="16"/>
              </w:rPr>
              <w:t>ılıklarını teminat altına almak ve bu amaca uygun ticari, sınai ve mali girişimlerde bulunmaktır.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CAD. NO:51 KARAKÖY/İSTANBUL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</w:t>
            </w:r>
            <w:r>
              <w:rPr>
                <w:rFonts w:ascii="Arial" w:hAnsi="Arial"/>
                <w:color w:val="000000"/>
                <w:sz w:val="16"/>
              </w:rPr>
              <w:t>AN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 –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G.MICHAEL KIEZ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TREVOR TRAFGARNE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LANDON THOMAS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IDAN OFER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0212 244 60 01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pStyle w:val="Heading1"/>
            </w:pPr>
            <w:r>
              <w:rPr>
                <w:i w:val="0"/>
                <w:color w:val="auto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112.500.000.-YTL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112.500.000.-YTL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000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000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000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 participation </w:t>
            </w:r>
            <w:r>
              <w:rPr>
                <w:rFonts w:ascii="Arial" w:hAnsi="Arial"/>
                <w:i/>
                <w:sz w:val="16"/>
              </w:rPr>
              <w:t>revenues for the last two years is shown below.</w:t>
            </w:r>
          </w:p>
        </w:tc>
      </w:tr>
    </w:tbl>
    <w:p w:rsidR="00000000" w:rsidRDefault="001000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0008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1000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1000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0008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10008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1000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000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10008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4.690.896*</w:t>
            </w:r>
          </w:p>
        </w:tc>
        <w:tc>
          <w:tcPr>
            <w:tcW w:w="3543" w:type="dxa"/>
          </w:tcPr>
          <w:p w:rsidR="00000000" w:rsidRDefault="0010008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000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10008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816.004*</w:t>
            </w:r>
          </w:p>
        </w:tc>
        <w:tc>
          <w:tcPr>
            <w:tcW w:w="3543" w:type="dxa"/>
          </w:tcPr>
          <w:p w:rsidR="00000000" w:rsidRDefault="0010008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**</w:t>
            </w:r>
          </w:p>
        </w:tc>
      </w:tr>
    </w:tbl>
    <w:p w:rsidR="00000000" w:rsidRDefault="0010008D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* Sadece iştiraklerden elde edilen temett</w:t>
      </w:r>
      <w:r>
        <w:rPr>
          <w:rFonts w:ascii="Arial" w:hAnsi="Arial"/>
          <w:sz w:val="18"/>
        </w:rPr>
        <w:t xml:space="preserve">ü gelirlerini içermektedir.  </w:t>
      </w:r>
    </w:p>
    <w:p w:rsidR="00000000" w:rsidRDefault="0010008D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** 2005 yıllarında şirket zarar açıklamıştır. </w:t>
      </w:r>
    </w:p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6"/>
        </w:rPr>
      </w:pPr>
    </w:p>
    <w:p w:rsidR="00000000" w:rsidRDefault="0010008D">
      <w:pPr>
        <w:rPr>
          <w:rFonts w:ascii="Arial" w:hAnsi="Arial"/>
          <w:sz w:val="16"/>
        </w:rPr>
      </w:pPr>
    </w:p>
    <w:p w:rsidR="00000000" w:rsidRDefault="0010008D">
      <w:pPr>
        <w:rPr>
          <w:rFonts w:ascii="Arial" w:hAnsi="Arial"/>
          <w:sz w:val="18"/>
        </w:rPr>
      </w:pPr>
    </w:p>
    <w:p w:rsidR="00000000" w:rsidRDefault="001000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0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00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0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1000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00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000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Participations</w:t>
            </w:r>
          </w:p>
        </w:tc>
        <w:tc>
          <w:tcPr>
            <w:tcW w:w="2304" w:type="dxa"/>
          </w:tcPr>
          <w:p w:rsidR="00000000" w:rsidRDefault="001000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000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 GAYRIMENKUL YATIRIM ORTAKLIĞI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DEĞERLER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GLOBAL PORTFÖY YÖNETİMİ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 MOBILIARE S.A.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21.884.600.000.-LEVA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FINANCIAL PRODUCT LTD.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937.500.-USD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BULGARIA A.D.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1.000.000.-LEVA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SİGORTA ARACILIK HİZMETLERİ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BAKU BO</w:t>
            </w:r>
            <w:r>
              <w:rPr>
                <w:rFonts w:ascii="Arial" w:hAnsi="Arial"/>
                <w:color w:val="000000"/>
                <w:sz w:val="16"/>
              </w:rPr>
              <w:t>RSASI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1.242.000.-USD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NETGAZ ŞEHİR DOĞALGAZ DAĞITIM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INTERNATIONAL BV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91,000.-EURO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MENKUL DEĞERLER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HAYAT SİGORTA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3.185.700.-YTL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GAZNET ŞEHİR DOĞALG</w:t>
            </w:r>
            <w:r>
              <w:rPr>
                <w:rFonts w:ascii="Arial" w:hAnsi="Arial"/>
                <w:color w:val="000000"/>
                <w:sz w:val="16"/>
              </w:rPr>
              <w:t>AZ DAĞITIM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TORBA İNŞAAT VE TURİZM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ENERJİ YATIRIM HOLDİNG 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ALTYAPI HİZMETLERİ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ÇORUMGAZ A.Ş.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6.000.000.-YTL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SOFYA BORSASI</w:t>
            </w:r>
          </w:p>
        </w:tc>
        <w:tc>
          <w:tcPr>
            <w:tcW w:w="2304" w:type="dxa"/>
          </w:tcPr>
          <w:p w:rsidR="00000000" w:rsidRDefault="001000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2.203.000.-LEVA</w:t>
            </w:r>
          </w:p>
        </w:tc>
        <w:tc>
          <w:tcPr>
            <w:tcW w:w="2342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</w:tbl>
    <w:p w:rsidR="00000000" w:rsidRDefault="0010008D">
      <w:pPr>
        <w:rPr>
          <w:rFonts w:ascii="Arial" w:hAnsi="Arial"/>
          <w:color w:val="FF0000"/>
          <w:sz w:val="16"/>
        </w:rPr>
      </w:pPr>
    </w:p>
    <w:p w:rsidR="00000000" w:rsidRDefault="0010008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0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00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0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000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00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00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00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00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000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008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  <w:tc>
          <w:tcPr>
            <w:tcW w:w="1892" w:type="dxa"/>
          </w:tcPr>
          <w:p w:rsidR="00000000" w:rsidRDefault="001000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3.370.794</w:t>
            </w:r>
          </w:p>
        </w:tc>
        <w:tc>
          <w:tcPr>
            <w:tcW w:w="2410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  <w:tc>
          <w:tcPr>
            <w:tcW w:w="1892" w:type="dxa"/>
          </w:tcPr>
          <w:p w:rsidR="00000000" w:rsidRDefault="001000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364.398</w:t>
            </w:r>
          </w:p>
        </w:tc>
        <w:tc>
          <w:tcPr>
            <w:tcW w:w="2410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YATIRIM HOLDİNG A.Ş.</w:t>
            </w:r>
          </w:p>
        </w:tc>
        <w:tc>
          <w:tcPr>
            <w:tcW w:w="1892" w:type="dxa"/>
          </w:tcPr>
          <w:p w:rsidR="00000000" w:rsidRDefault="001000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6.630.861</w:t>
            </w:r>
          </w:p>
        </w:tc>
        <w:tc>
          <w:tcPr>
            <w:tcW w:w="2410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 GAYRIMENKUL YATIRIM ORTAKLIĞI A.Ş.</w:t>
            </w:r>
          </w:p>
        </w:tc>
        <w:tc>
          <w:tcPr>
            <w:tcW w:w="1892" w:type="dxa"/>
          </w:tcPr>
          <w:p w:rsidR="00000000" w:rsidRDefault="001000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3.100.659</w:t>
            </w:r>
          </w:p>
        </w:tc>
        <w:tc>
          <w:tcPr>
            <w:tcW w:w="2410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00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1000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99.033.288</w:t>
            </w:r>
          </w:p>
        </w:tc>
        <w:tc>
          <w:tcPr>
            <w:tcW w:w="2410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00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000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112.500.000</w:t>
            </w:r>
          </w:p>
        </w:tc>
        <w:tc>
          <w:tcPr>
            <w:tcW w:w="2410" w:type="dxa"/>
          </w:tcPr>
          <w:p w:rsidR="00000000" w:rsidRDefault="0010008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0008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08D"/>
    <w:rsid w:val="001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0B243-53F9-440B-ACA5-EEED5DB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2007-04-21T00:00:00Z</cp:lastPrinted>
  <dcterms:created xsi:type="dcterms:W3CDTF">2022-09-01T21:37:00Z</dcterms:created>
  <dcterms:modified xsi:type="dcterms:W3CDTF">2022-09-01T21:37:00Z</dcterms:modified>
</cp:coreProperties>
</file>