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1986">
            <w:pPr>
              <w:pStyle w:val="Heading2"/>
            </w:pPr>
            <w:r>
              <w:t>DOĞUŞ-GE GAYRİMENKUL YATIRIM ORTAKLIĞI A.Ş.</w:t>
            </w:r>
          </w:p>
        </w:tc>
      </w:tr>
    </w:tbl>
    <w:p w:rsidR="00000000" w:rsidRDefault="0065198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30/07/1997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VE GAYRİMENKULE DAYALI SERMAYE PİYASASI ARAÇLARINA,GAYRİMENKUL PROJELERİNE,GAYRİMENKULE DAYALI HAKLARA VE SERMAYE PİYASASI A</w:t>
            </w:r>
            <w:r>
              <w:rPr>
                <w:rFonts w:ascii="Arial" w:hAnsi="Arial"/>
                <w:color w:val="000000"/>
                <w:sz w:val="16"/>
              </w:rPr>
              <w:t>RAÇLARINA YATIRIM YAPILMASI.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NO:65 DOĞUŞ GRUBU BİNALARI A BLOK KAT:1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KÜRŞAT TUNCEL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(YÖNETİM KURULU </w:t>
            </w:r>
            <w:r>
              <w:rPr>
                <w:rFonts w:ascii="Arial" w:hAnsi="Arial"/>
                <w:color w:val="000000"/>
                <w:sz w:val="16"/>
              </w:rPr>
              <w:t>BAŞKANI)</w:t>
            </w:r>
          </w:p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OLIVIER PIANI (YÖNETİM KURULU BAŞKAN VEKİLİ)</w:t>
            </w:r>
          </w:p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KARIM HABRA (ÜYE)</w:t>
            </w:r>
          </w:p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HÜSNÜ GÜZELÖZ (ÜYE)</w:t>
            </w:r>
          </w:p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KÜRŞAT TUNCEL (ÜYE)</w:t>
            </w:r>
          </w:p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OGAN KARATUNA (BAĞIMSIZ ÜYE)</w:t>
            </w:r>
          </w:p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BAHADIR TEKER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335 32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285 40 </w:t>
            </w: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info@garantigyo.com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73.800.000.-YTL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</w:t>
            </w:r>
            <w:r>
              <w:rPr>
                <w:rFonts w:ascii="Arial" w:hAnsi="Arial"/>
                <w:b/>
                <w:color w:val="000000"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651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 aşağıda verilmiştir.</w:t>
            </w:r>
          </w:p>
        </w:tc>
        <w:tc>
          <w:tcPr>
            <w:tcW w:w="1047" w:type="dxa"/>
          </w:tcPr>
          <w:p w:rsidR="00000000" w:rsidRDefault="006519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6519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portfolio as of 31.12.2006 is shown below.</w:t>
            </w:r>
          </w:p>
        </w:tc>
      </w:tr>
    </w:tbl>
    <w:p w:rsidR="00000000" w:rsidRDefault="00651986">
      <w:pPr>
        <w:rPr>
          <w:rFonts w:ascii="Arial" w:hAnsi="Arial"/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0"/>
        <w:gridCol w:w="4120"/>
        <w:gridCol w:w="1120"/>
        <w:gridCol w:w="1480"/>
        <w:gridCol w:w="940"/>
        <w:gridCol w:w="920"/>
        <w:gridCol w:w="820"/>
        <w:gridCol w:w="1040"/>
        <w:gridCol w:w="1640"/>
        <w:gridCol w:w="900"/>
        <w:gridCol w:w="1060"/>
        <w:gridCol w:w="760"/>
        <w:gridCol w:w="840"/>
        <w:gridCol w:w="1020"/>
        <w:gridCol w:w="3740"/>
        <w:gridCol w:w="1300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198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32"/>
              </w:rPr>
            </w:pPr>
            <w:bookmarkStart w:id="0" w:name="RANGE!A1:Q152"/>
            <w:r>
              <w:rPr>
                <w:sz w:val="32"/>
              </w:rPr>
              <w:t>GARANTİ GAYRİMENKUL YATIRIM ORTAKLIĞI A.Ş</w:t>
            </w:r>
            <w:r>
              <w:rPr>
                <w:sz w:val="32"/>
              </w:rPr>
              <w:t xml:space="preserve"> . 31-12-2006 PORTFÖY TABLOSU</w:t>
            </w:r>
            <w:bookmarkEnd w:id="0"/>
          </w:p>
        </w:tc>
        <w:tc>
          <w:tcPr>
            <w:tcW w:w="4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32"/>
              </w:rPr>
            </w:pPr>
            <w:r>
              <w:rPr>
                <w:sz w:val="32"/>
              </w:rPr>
              <w:t>Tablo Tarihi: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10.01.07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32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32"/>
              </w:rPr>
            </w:pPr>
            <w:r>
              <w:rPr>
                <w:sz w:val="32"/>
              </w:rPr>
              <w:t>(YTL)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3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GAYRİMENKULLER, GAYRİMENKUL PROJELERİ, GAYRİMENKULE DAYALI HAKLAR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Yeri ve Özellikleri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Ekspertiz Tarihi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Alış Eks</w:t>
            </w:r>
            <w:r>
              <w:rPr>
                <w:sz w:val="16"/>
              </w:rPr>
              <w:t>pertiz Değeri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Ekspertiz Tarihi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Ekspertiz Değeri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Toplam Port. Değ.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Sigorta Değeri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Ekspertiz Tarihi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Ekspertiz Değeri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Bedeli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Kiracı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Kira Başlangıç Dönemi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Kira Süresi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Arsalar ve Araziler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Binalar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19.515.000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2.985.000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102.970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103.117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Taksim                                             (Dip not:2)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Taksim-1.350m2 İşyeri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14.12.98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995.625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17.11.98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998.156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13.10.06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6.885.000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6.885.000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z w:val="16"/>
              </w:rPr>
              <w:t>.10.06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40.000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38.654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T. Garanti Bankası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01.01.2006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Levent                                              (Dip not:2)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Levent-374m2 İşyeri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14.12.98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297.750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17.11.98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299.162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13.10.06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2.115.000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2.115.000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13.10.06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11.948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T. Garanti B</w:t>
            </w:r>
            <w:r>
              <w:rPr>
                <w:sz w:val="16"/>
              </w:rPr>
              <w:t>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01.01.2006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Etiler                                               (Dip not:2)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Etiler-294m2-İşyeri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30.12.03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3.559.850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19.12.03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3.530.000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13.10.06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4.475.000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4.475.000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16.02.06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19.700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20.473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Doğuş Oto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24.02.2006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 xml:space="preserve">Antalya     </w:t>
            </w:r>
            <w:r>
              <w:rPr>
                <w:sz w:val="16"/>
              </w:rPr>
              <w:t xml:space="preserve">                                        (Dip not:2)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Antalya-3.550m2-56 adet bağımsız bölüm-İşyeri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06.03.00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2.331.094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20.11.00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2.549.000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17.10.06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6.040.000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6.040.000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1.705.000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30.270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32.043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Antalya2000 Plaza 5,6, Katlar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4.300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3.</w:t>
            </w:r>
            <w:r>
              <w:rPr>
                <w:color w:val="000000"/>
                <w:sz w:val="16"/>
              </w:rPr>
              <w:t>936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T. Garanti Bankası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01.01.2006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 2000 Plaza 31-32 nolu Bağımsız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Emin Gürsoy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01.03.2006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 2000 Plaza 33-34-35-36-38-39-47-48nolu B.Bl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9.600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11.675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Güney Fen Bilimleri Me</w:t>
            </w:r>
            <w:r>
              <w:rPr>
                <w:sz w:val="16"/>
              </w:rPr>
              <w:t>rkezi Eğitim Hizm. Ltd. Şti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01.04.2006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 2000 Plaza 26 nolu Bağımsız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Ata Spor Malz. Turizm LTD.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01.05.2006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 2000 Plaza 24-25 nolu Bağımsız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1.690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2.553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Levent Optik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01.12</w:t>
            </w:r>
            <w:r>
              <w:rPr>
                <w:sz w:val="16"/>
              </w:rPr>
              <w:t>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Antalya2000 Plaza 22-23 nolu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1.950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1.881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Baryum Bilgisayar-Harun Kurt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01.04.2006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Antalya2000 Plaza 76 nolu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Garanti Finansal Kiralama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01.05.2006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Antalya2000 Plaza 73-74</w:t>
            </w:r>
            <w:r>
              <w:rPr>
                <w:sz w:val="16"/>
              </w:rPr>
              <w:t>-75nolu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1.240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1.650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Ak Yatırım Menkul Değerler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01.06.2006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5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Antalya2000 Plaza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5.180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6.550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Türk Ekonomi Bankası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01.06.2006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 2000 Plaza 20-21 nolu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02.11.06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1.675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1.497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Ata Spor M</w:t>
            </w:r>
            <w:r>
              <w:rPr>
                <w:sz w:val="16"/>
              </w:rPr>
              <w:t>alz. Turizm LTD.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01.07.2005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yıl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Diğer Gayrimenkuller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110.550.000  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Doğuş Power Center -Maslak                      (Dipnot:6)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Maslak-44.121m2 -Alışveriş Merkezi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21.12.00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13.527.578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15.12.00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20.957.000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13.10.06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110.550.000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110.550.000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69%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32.800.000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Gayrimenkul Projeleri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25.940.472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Evidea Projesi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Çekmeköy Konut Projesi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18.11.04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39.653.000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16.10.06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39.653.000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25.940.472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Gayrimenkule Dayalı</w:t>
            </w:r>
            <w:r>
              <w:rPr>
                <w:b/>
                <w:sz w:val="16"/>
              </w:rPr>
              <w:t xml:space="preserve"> Haklar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GAYRİMENKULLER TOPLAMI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156.005.472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İŞTİRAKLER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Faaliyet Konusu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Toplam Port. D</w:t>
            </w:r>
            <w:r>
              <w:rPr>
                <w:sz w:val="16"/>
              </w:rPr>
              <w:t>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GKY REAL ESTATE INVESTMENTS SA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3.986.336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3.986.336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İŞTİRAKLER TOPLAMI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3.986.336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PARA VE SERMAYE PİYASASI ARAÇLARI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 xml:space="preserve">Para Birimi 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Miktar</w:t>
            </w:r>
            <w:r>
              <w:rPr>
                <w:sz w:val="16"/>
              </w:rPr>
              <w:t>ı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Bileşik Faiz Oranı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 xml:space="preserve">Vade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Birim Değeri (TL)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Portföy Değeri (Milyon TL)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Toplam Port. Değ.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Hisse Senedi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Tahvil ve Bonolar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Yatırım Fonları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5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Vadeli / Vadesiz Döviz Tevdiat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Garanti Bankası USD Vadesiz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31.346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31.346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31.346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Garanti Bankası EURO Vadesiz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EURO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Vadeli TL Mevduat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590.877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Garanti Bankası Vadesiz YTL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590.877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590.877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590.877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Garanti Bankası O/N Mevduat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Ters Repo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Borsa Para Piyasası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Diğer Para ve Sermaye Piyasası Araçları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PARA VE SERMAYE PİYASASI ARAÇLARI TOPLAMI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622.223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160.614.030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HAZIR DEĞERLER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ALACAKLAR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735.753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DİĞER AKTİFLER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8.172.767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BORÇLAR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41.433.882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NET AKTİF DEĞER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128.090.161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PAY SAYISI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PAYBAŞI NET AKTİF DEĞERİ (TL)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1.736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ORTAKLIK HİSSE SENED</w:t>
            </w:r>
            <w:r>
              <w:rPr>
                <w:sz w:val="16"/>
              </w:rPr>
              <w:t>İNİN İMKB SON SEANS AĞIRLIKLI ORTALAMA FİYATI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DİĞER BİLGİLER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8300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Portföydeki Projelere İlişkin Olarak Yıllar İtibariyle Planlanan Ödeme Tutarları 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2010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830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Alınan Kredilere İlişkin Açıklamalar :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Kredi Alınan Kuruluş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 Birimi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Kredi Tutarı (İlgili Para Birimi Cinsinden)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Kredi Tutarı     (Milyon TL)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Vad</w:t>
            </w:r>
            <w:r>
              <w:rPr>
                <w:sz w:val="16"/>
              </w:rPr>
              <w:t>esi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Faiz Oranı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 xml:space="preserve">Garantı Bankası 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TL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9.765.115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9.765.115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21%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Dönem sonu faiz ödemeli Rotatif Kredi  olup , bu tutara 563,682. YTL birikmiş kredi faiz reeskontu  dahil değildir.(1 Ocak 2007 itibariyle ödenmiştir)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Fortis Bank-S.A./ N.V.BRUSSELS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USD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                               6.000.000   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8.474.400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03.01.08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Libor+0,95 %</w:t>
            </w:r>
          </w:p>
        </w:tc>
        <w:tc>
          <w:tcPr>
            <w:tcW w:w="1210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Altı ayda bir faiz ödemeli USD kredi olup, kredinin açılış tarihi 27.12.2006' dır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4580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Rehin, İpotek ve Teminatlara İlişkin Açıklamalar 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b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6720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6720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Bir Önceki Tabloya Göre D</w:t>
            </w:r>
            <w:r>
              <w:rPr>
                <w:b/>
                <w:sz w:val="16"/>
              </w:rPr>
              <w:t>eğişiklikler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6720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5.09.2006 Tarihi itibariyle Banka Kredisi kullanılmaya başlanmıştır.Bir önceki dönemde .Kullanılan Banka Kredisi  mevcut değildir.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6720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6720" w:type="dxa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462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PORTFÖY SINIRLAMALARI KONTROLLERİ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1. %50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A) GAYRİMENKULLER, GAYRİMENKUL PROJELERİ VE GAYRİMENKULE DAYALI HAKLAR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156.005.472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B) PARA VE SERMAYE PİYASASI ARAÇLARININ ÜÇ YILLIK GAYRİMENKUL ÖDEMELERİ İÇİN TUT</w:t>
            </w:r>
            <w:r>
              <w:rPr>
                <w:sz w:val="16"/>
              </w:rPr>
              <w:t>ULAN KISMI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156.005.472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97%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D) İŞTİRAKLER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3.986.336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E) YATIRIM AMAÇLI TUTULAN PARA VE SERMAYE PİYASASI ARAÇLARI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622.223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F) İŞTİRAKLER VE YATIRIM AMAÇLI TUTULAN PARA VE SERMAYE PİYASASI ARAÇLARI (D+E)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4.608.559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160.614.030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2. Mevduat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A) Vadeli / Vadesiz Döviz Tevdiat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31.346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B) Vadeli</w:t>
            </w:r>
            <w:r>
              <w:rPr>
                <w:sz w:val="16"/>
              </w:rPr>
              <w:t xml:space="preserve"> TL Mevduat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590.877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C) Toplam Yatırım Amaçlı Mevduat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622.223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160.614.030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3. İştirak Sınırı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A) ...A.Ş.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B) … A.Ş.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3.986.336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C) İştirakler Toplamı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3.986.336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160.614.030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4. Atıl tutulan Arsa / Arazi Sınırı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Alış Tarihi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Tablo Tarihi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Üç Yılı Geçmiş mi?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Arsa 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00.01.00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10.01.07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Arsa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00.01.00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10.01.07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Ev</w:t>
            </w:r>
            <w:r>
              <w:rPr>
                <w:sz w:val="16"/>
              </w:rPr>
              <w:t>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Üç Yılı Geçenlerin Portföy Değeri Toplamı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160.614.030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5. Kredi Sınırı Kontrolü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A) Kredi 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Garanti Bankası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9.765.115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B) Kredi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 xml:space="preserve">Fortis Bank-S.A./ </w:t>
            </w:r>
            <w:r>
              <w:rPr>
                <w:sz w:val="16"/>
              </w:rPr>
              <w:t>N.V.BRUSSELS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8.474.400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C) Kredi 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… Bankası A.Ş.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D) Krediler Toplamı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18.239.515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2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NET AKTİF DEĞER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128.090.161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Dipnotlar: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1-Tablodaki veriler yanında para</w:t>
            </w:r>
            <w:r>
              <w:rPr>
                <w:sz w:val="16"/>
              </w:rPr>
              <w:t xml:space="preserve"> cinsi belirtilmediği sürece YTL olarak girilmiştir.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2-Tablod da gayrimenkullerin ekspertiz değerleri KDV hariç olup, KDV dahil değerler aşağıdaki gibidir.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YTL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Taksim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8.124.300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Levent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2.4</w:t>
            </w:r>
            <w:r>
              <w:rPr>
                <w:sz w:val="16"/>
              </w:rPr>
              <w:t>95.700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Etiler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5.280.500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7.127.200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3-Aşağıda belirtilen işyerlerine ait kira sözleşmeleri döviz bazında olup tablo da YTL değerleri yeralmaktadır.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Taksim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27.500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Levent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8.500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Etiler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14.565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 5,6 Katlar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2.800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Antalya2000 Plaza 76 nolu Bölüm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090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4-Etiler binası alış tutarı 3.490.000 YTL olup, 69.850 YTL i</w:t>
            </w:r>
            <w:r>
              <w:rPr>
                <w:sz w:val="16"/>
              </w:rPr>
              <w:t>hale komisyonu ve harç bedelidir.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8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5-Binaların sigortaları (arsa hariç değerleri üzerinden ) 31.12.2006 tarihinde yenilenmiştir.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7160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6-Tabloda, Doğuş Power Center İşmerkezi 9.11.2006 tarihinde açılmış olup,33 adet kiracıya ait ay</w:t>
            </w:r>
            <w:r>
              <w:rPr>
                <w:sz w:val="16"/>
              </w:rPr>
              <w:t>lık toplam kira geliri  550.833 USD'dır. Sigorta Değeri Arsa hariç USD 32.800.000 olup 08-11-2006 da yapılmıştır.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260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7- a)Yapı Kredi Koray GYO AŞ ve Garanti GYO AŞ Ortak Girişimi olarak girilen Evidea konut Projesinde gerçekleşen konut teslimleri ned</w:t>
            </w:r>
            <w:r>
              <w:rPr>
                <w:color w:val="000000"/>
                <w:sz w:val="16"/>
              </w:rPr>
              <w:t>eniyle Garanti GYO payına düşen Evidea Projesi Portfoy değeri 17.315.444 YTL azalmıştır.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5880" w:type="dxa"/>
            <w:gridSpan w:val="16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7- b)Yapı Kredi Koray GYO AŞ ve Garanti GYO AŞ Ortak Girişimi olarak girilen Evidea konut Projesinde gerçekleşen satışlardan(Garanti GYO payına düşen) 38.905</w:t>
            </w:r>
            <w:r>
              <w:rPr>
                <w:color w:val="000000"/>
                <w:sz w:val="16"/>
              </w:rPr>
              <w:t>.819 YTL nakit girişi sağlanmış olup, 31.12.2006 itibariyle  191 konut'un teslim edilmesi ile   Uzun Vadeli borçlar -Alınan siapariş avanslarında Garanti GYO payına düşen tutar 23.710.362 YTL olmuştur.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184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8-  Romanya'da kurulan GKY Real Estate Investments </w:t>
            </w:r>
            <w:r>
              <w:rPr>
                <w:color w:val="000000"/>
                <w:sz w:val="16"/>
              </w:rPr>
              <w:t>SA şirketine 1.500.000 Euro karşılığı sermaye ödemesi ve 670.500 Euro karşılığı avans ödemesi yapılmıştır.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color w:val="000000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651986">
            <w:pPr>
              <w:ind w:firstLine="76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651986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651986">
            <w:pPr>
              <w:jc w:val="center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51986">
            <w:pPr>
              <w:jc w:val="right"/>
              <w:rPr>
                <w:sz w:val="16"/>
              </w:rPr>
            </w:pPr>
            <w:r>
              <w:rPr>
                <w:sz w:val="16"/>
              </w:rPr>
              <w:t> </w:t>
            </w:r>
          </w:p>
        </w:tc>
      </w:tr>
    </w:tbl>
    <w:p w:rsidR="00000000" w:rsidRDefault="00651986">
      <w:pPr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19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</w:t>
            </w:r>
            <w:r>
              <w:rPr>
                <w:rFonts w:ascii="Arial" w:hAnsi="Arial"/>
                <w:sz w:val="16"/>
              </w:rPr>
              <w:t xml:space="preserve">e payları aşağıda gösterilmektedir. </w:t>
            </w:r>
          </w:p>
        </w:tc>
        <w:tc>
          <w:tcPr>
            <w:tcW w:w="1134" w:type="dxa"/>
          </w:tcPr>
          <w:p w:rsidR="00000000" w:rsidRDefault="006519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19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5198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98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51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51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5198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51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5198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5198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 CAPITAL CORPORATION</w:t>
            </w:r>
          </w:p>
        </w:tc>
        <w:tc>
          <w:tcPr>
            <w:tcW w:w="1892" w:type="dxa"/>
          </w:tcPr>
          <w:p w:rsidR="00000000" w:rsidRDefault="006519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18.819.000</w:t>
            </w:r>
          </w:p>
        </w:tc>
        <w:tc>
          <w:tcPr>
            <w:tcW w:w="2410" w:type="dxa"/>
          </w:tcPr>
          <w:p w:rsidR="00000000" w:rsidRDefault="006519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</w:t>
            </w: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892" w:type="dxa"/>
          </w:tcPr>
          <w:p w:rsidR="00000000" w:rsidRDefault="006519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18.819.000</w:t>
            </w:r>
          </w:p>
        </w:tc>
        <w:tc>
          <w:tcPr>
            <w:tcW w:w="2410" w:type="dxa"/>
          </w:tcPr>
          <w:p w:rsidR="00000000" w:rsidRDefault="006519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6519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36.162.000</w:t>
            </w:r>
          </w:p>
        </w:tc>
        <w:tc>
          <w:tcPr>
            <w:tcW w:w="2410" w:type="dxa"/>
          </w:tcPr>
          <w:p w:rsidR="00000000" w:rsidRDefault="006519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65198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73.800.000</w:t>
            </w:r>
          </w:p>
        </w:tc>
        <w:tc>
          <w:tcPr>
            <w:tcW w:w="2410" w:type="dxa"/>
          </w:tcPr>
          <w:p w:rsidR="00000000" w:rsidRDefault="0065198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5198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5198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5198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51986">
      <w:pPr>
        <w:jc w:val="both"/>
        <w:rPr>
          <w:rFonts w:ascii="Arial" w:hAnsi="Arial"/>
          <w:sz w:val="18"/>
        </w:rPr>
      </w:pPr>
    </w:p>
    <w:p w:rsidR="00000000" w:rsidRDefault="00651986">
      <w:pPr>
        <w:jc w:val="both"/>
        <w:rPr>
          <w:rFonts w:ascii="Arial" w:hAnsi="Arial"/>
          <w:sz w:val="18"/>
        </w:rPr>
      </w:pPr>
    </w:p>
    <w:p w:rsidR="00000000" w:rsidRDefault="00651986">
      <w:pPr>
        <w:jc w:val="both"/>
        <w:rPr>
          <w:rFonts w:ascii="Arial" w:hAnsi="Arial"/>
          <w:sz w:val="18"/>
        </w:rPr>
      </w:pP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</w:t>
      </w:r>
      <w:r>
        <w:rPr>
          <w:rFonts w:ascii="Arial" w:hAnsi="Arial"/>
          <w:sz w:val="16"/>
        </w:rPr>
        <w:t xml:space="preserve">m organlarında görevli pay sahibi kişiler (ayrı ayrı), 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</w:t>
      </w:r>
      <w:r>
        <w:rPr>
          <w:rFonts w:ascii="Arial" w:hAnsi="Arial"/>
          <w:sz w:val="16"/>
        </w:rPr>
        <w:t>en hissedarlar ile birinci dereceden akrabalık ilişkisi bulunan pay sahibi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</w:t>
      </w:r>
      <w:r>
        <w:rPr>
          <w:rFonts w:ascii="Arial" w:hAnsi="Arial"/>
          <w:sz w:val="16"/>
        </w:rPr>
        <w:t>topluluk bünyesinde bulunan tüzel kişi ortaklar ( ayrı ayrı )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1986">
      <w:pPr>
        <w:ind w:right="-1231"/>
        <w:rPr>
          <w:rFonts w:ascii="Arial" w:hAnsi="Arial"/>
          <w:sz w:val="16"/>
        </w:rPr>
      </w:pPr>
    </w:p>
    <w:p w:rsidR="00000000" w:rsidRDefault="00651986">
      <w:pPr>
        <w:ind w:right="-1231"/>
        <w:rPr>
          <w:rFonts w:ascii="Arial" w:hAnsi="Arial"/>
          <w:sz w:val="16"/>
        </w:rPr>
      </w:pPr>
    </w:p>
    <w:p w:rsidR="00000000" w:rsidRDefault="0065198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1986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1986"/>
    <w:rsid w:val="0065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A5CAF-35E2-4DCD-B4EC-2AF2A7D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2007-04-27T20:42:00Z</cp:lastPrinted>
  <dcterms:created xsi:type="dcterms:W3CDTF">2022-09-01T21:37:00Z</dcterms:created>
  <dcterms:modified xsi:type="dcterms:W3CDTF">2022-09-01T21:37:00Z</dcterms:modified>
</cp:coreProperties>
</file>