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B20">
            <w:pPr>
              <w:pStyle w:val="Heading2"/>
            </w:pPr>
            <w:r>
              <w:t xml:space="preserve">Y VE Y GAYRİMENKUL YATIRIM ORTAKLIĞI </w:t>
            </w:r>
          </w:p>
          <w:p w:rsidR="00000000" w:rsidRDefault="008F6B20">
            <w:pPr>
              <w:pStyle w:val="Heading2"/>
            </w:pPr>
            <w:r>
              <w:t>(İHLAS GAYRİMENKUL YATIRIM ORTAKLIĞI A.Ş.)</w:t>
            </w:r>
          </w:p>
        </w:tc>
      </w:tr>
    </w:tbl>
    <w:p w:rsidR="00000000" w:rsidRDefault="008F6B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23.12.1997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(Established in)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GAYRİMENKUL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(Main Business Line)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(REAL ESTATE 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MERKEZ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ŞAŞMAZ PLAZA, K.12, D.25, 34742, KOZYATAĞI, KADIKÖY-İSTANBUL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(Head Office)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GÖKKAYA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(General Manager)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BAŞKIR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KALKUZ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GÖKKAYA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TAVİT KÖLETAVİTOĞLU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BAŞKI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H. FEHİM ÜÇIŞIK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UĞURLU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(216) 464 08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Phone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(216) 464 08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Facsimile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E-MAIL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ADRESİ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bilgi@yygyo.com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(Number of Employees)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SERMAYE </w:t>
            </w:r>
            <w:r>
              <w:rPr>
                <w:rFonts w:ascii="Arial" w:hAnsi="Arial"/>
                <w:b/>
                <w:color w:val="000000"/>
                <w:sz w:val="16"/>
              </w:rPr>
              <w:t>TAVANI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B20">
            <w:r>
              <w:rPr>
                <w:rFonts w:ascii="Arial" w:hAnsi="Arial"/>
                <w:color w:val="000000"/>
                <w:sz w:val="16"/>
              </w:rPr>
              <w:t>400.000.000,00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Authorized Capital)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33.162.529,95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Issued Capital)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Trading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8F6B20">
      <w:pPr>
        <w:rPr>
          <w:rFonts w:ascii="Arial" w:hAnsi="Arial"/>
          <w:sz w:val="16"/>
        </w:rPr>
      </w:pPr>
    </w:p>
    <w:p w:rsidR="00000000" w:rsidRDefault="008F6B20">
      <w:pPr>
        <w:rPr>
          <w:rFonts w:ascii="Arial" w:hAnsi="Arial"/>
          <w:sz w:val="16"/>
        </w:rPr>
        <w:sectPr w:rsidR="00000000">
          <w:pgSz w:w="11907" w:h="16840" w:code="9"/>
          <w:pgMar w:top="567" w:right="1797" w:bottom="567" w:left="1797" w:header="720" w:footer="720" w:gutter="0"/>
          <w:paperSrc w:first="2" w:other="2"/>
          <w:cols w:space="720"/>
          <w:noEndnote/>
        </w:sect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868"/>
        <w:gridCol w:w="1047"/>
        <w:gridCol w:w="44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8" w:type="dxa"/>
          </w:tcPr>
          <w:p w:rsidR="00000000" w:rsidRDefault="008F6B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Ortaklığın 31.12.2006 tarihi itibariyle portföyü aşağıda verilmiştir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047" w:type="dxa"/>
          </w:tcPr>
          <w:p w:rsidR="00000000" w:rsidRDefault="008F6B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45" w:type="dxa"/>
          </w:tcPr>
          <w:p w:rsidR="00000000" w:rsidRDefault="008F6B20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Company's portfolio as of 31.12.2006 is shown below.</w:t>
            </w:r>
          </w:p>
        </w:tc>
      </w:tr>
    </w:tbl>
    <w:p w:rsidR="00000000" w:rsidRDefault="008F6B20">
      <w:pPr>
        <w:rPr>
          <w:rFonts w:ascii="Arial" w:hAnsi="Arial"/>
          <w:sz w:val="16"/>
        </w:rPr>
      </w:pPr>
    </w:p>
    <w:tbl>
      <w:tblPr>
        <w:tblW w:w="0" w:type="auto"/>
        <w:tblInd w:w="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9"/>
        <w:gridCol w:w="3686"/>
        <w:gridCol w:w="709"/>
        <w:gridCol w:w="708"/>
        <w:gridCol w:w="709"/>
        <w:gridCol w:w="851"/>
        <w:gridCol w:w="708"/>
        <w:gridCol w:w="709"/>
        <w:gridCol w:w="851"/>
        <w:gridCol w:w="708"/>
        <w:gridCol w:w="709"/>
        <w:gridCol w:w="703"/>
        <w:gridCol w:w="6"/>
        <w:gridCol w:w="709"/>
        <w:gridCol w:w="567"/>
        <w:gridCol w:w="219"/>
        <w:gridCol w:w="348"/>
        <w:gridCol w:w="708"/>
        <w:gridCol w:w="56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71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8"/>
              </w:rPr>
            </w:pPr>
            <w:bookmarkStart w:id="0" w:name="RANGE!A1:Q117"/>
            <w:r>
              <w:rPr>
                <w:rFonts w:ascii="Arial" w:hAnsi="Arial"/>
                <w:b/>
                <w:sz w:val="18"/>
              </w:rPr>
              <w:t>İHLAS GAYRİMENKUL YATIRIM ORTAKLIĞI ANONİM ŞİRKETİ – PORTFÖY TABLOSU (1)</w:t>
            </w:r>
            <w:bookmarkEnd w:id="0"/>
            <w:r>
              <w:rPr>
                <w:rFonts w:ascii="Arial" w:hAnsi="Arial"/>
                <w:b/>
                <w:sz w:val="18"/>
              </w:rPr>
              <w:br/>
            </w:r>
            <w:r>
              <w:rPr>
                <w:rFonts w:ascii="Arial" w:hAnsi="Arial"/>
                <w:i/>
                <w:sz w:val="18"/>
                <w:lang w:val="en-US"/>
              </w:rPr>
              <w:t>(IHLAS REAL ESTATE INVESTMENT COMPANY – PORTFOLIO TABLE (1)</w:t>
            </w:r>
          </w:p>
        </w:tc>
        <w:tc>
          <w:tcPr>
            <w:tcW w:w="15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Tablo Tarihi:</w:t>
            </w:r>
            <w:r>
              <w:rPr>
                <w:rFonts w:ascii="Arial" w:hAnsi="Arial"/>
                <w:b/>
                <w:sz w:val="18"/>
              </w:rPr>
              <w:br/>
            </w:r>
            <w:r>
              <w:rPr>
                <w:rFonts w:ascii="Arial" w:hAnsi="Arial"/>
                <w:i/>
                <w:sz w:val="18"/>
              </w:rPr>
              <w:t>(</w:t>
            </w:r>
            <w:r>
              <w:rPr>
                <w:rFonts w:ascii="Arial" w:hAnsi="Arial"/>
                <w:i/>
                <w:sz w:val="18"/>
                <w:lang w:val="en-US"/>
              </w:rPr>
              <w:t>Table Date</w:t>
            </w:r>
            <w:r>
              <w:rPr>
                <w:rFonts w:ascii="Arial" w:hAnsi="Arial"/>
                <w:i/>
                <w:sz w:val="18"/>
              </w:rPr>
              <w:t>):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34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(Yeni Türk Lirası) </w:t>
            </w:r>
            <w:r>
              <w:rPr>
                <w:rFonts w:ascii="Arial" w:hAnsi="Arial"/>
                <w:i/>
                <w:sz w:val="14"/>
              </w:rPr>
              <w:t xml:space="preserve">/ </w:t>
            </w: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>New Turkish Liras)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GAYRİMENKULLER, GAYRİMENKUL PROJELERİ, GAYRİMENKULE DAYALI HAKLAR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Yeri ve Özellikleri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Tarihi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Maliyeti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Ekspertiz Tarihi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Ekspertiz Değeri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Ekspertiz Tarihi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Ekspertiz Değeri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Portföy Değeri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Port. Değ. Oranı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Sigort</w:t>
            </w:r>
            <w:r>
              <w:rPr>
                <w:rFonts w:ascii="Arial" w:hAnsi="Arial"/>
                <w:sz w:val="14"/>
              </w:rPr>
              <w:t>a Değeri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 Ekspertiz Tarihi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 Ekspertiz Değeri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 Bedeli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Kiracı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 Başlangıç Dönemi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 Süresi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i/>
                <w:sz w:val="14"/>
                <w:lang w:val="en-US"/>
              </w:rPr>
            </w:pPr>
            <w:r>
              <w:rPr>
                <w:rFonts w:ascii="Arial" w:hAnsi="Arial"/>
                <w:b/>
                <w:i/>
                <w:sz w:val="14"/>
                <w:lang w:val="en-US"/>
              </w:rPr>
              <w:t>REAL ESTATE,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br/>
              <w:t>REAL ESTATE PROJECTS,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br/>
              <w:t>REAL ESTATE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br/>
              <w:t>BACKED RIGHTS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Location and  Properties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Date of Purchase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Purchase Cost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Purchase Appraisal Date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Purchase</w:t>
            </w:r>
            <w:r>
              <w:rPr>
                <w:rFonts w:ascii="Arial" w:hAnsi="Arial"/>
                <w:i/>
                <w:sz w:val="14"/>
                <w:lang w:val="en-US"/>
              </w:rPr>
              <w:t xml:space="preserve"> Appraisal Value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Appraisal Date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Appraisal Value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Portfolio Value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Ratio To Total Portfolio Value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Insurance Value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Rent Appraisal Date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Rent Appraisal Value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Rent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Renter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Rent Start Date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Rent 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Arsalar ve Araziler </w:t>
            </w:r>
            <w:r>
              <w:rPr>
                <w:rFonts w:ascii="Arial" w:hAnsi="Arial"/>
                <w:b/>
                <w:i/>
                <w:sz w:val="14"/>
              </w:rPr>
              <w:t>(Land)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960.000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sz w:val="14"/>
              </w:rPr>
              <w:t>TEKİRDAĞ A</w:t>
            </w:r>
            <w:r>
              <w:rPr>
                <w:rFonts w:ascii="Arial" w:hAnsi="Arial"/>
                <w:sz w:val="14"/>
              </w:rPr>
              <w:t>RSASI</w:t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i/>
                <w:sz w:val="14"/>
                <w:lang w:val="en-US"/>
              </w:rPr>
              <w:t>(LAND IN TEKIRDAG)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TEKİRDAĞ / BARBAROS'TA TAVANLIÇEŞME MEVKİİ, 5 PAFTA 4972 NO'LU PARSEL'DE 12.000 M2 ARSA </w:t>
            </w:r>
            <w:r>
              <w:rPr>
                <w:rFonts w:ascii="Arial" w:hAnsi="Arial"/>
                <w:i/>
                <w:sz w:val="14"/>
                <w:lang w:val="en-US"/>
              </w:rPr>
              <w:t>(12,000 SQM LAND LOCATED IN TEKIRDAG / BARBAROS REGISTERED AT TAVANLICESME SITE, SECTION NO. 5, AND PARCEL NO. 4972</w:t>
            </w:r>
            <w:r>
              <w:rPr>
                <w:rFonts w:ascii="Arial" w:hAnsi="Arial"/>
                <w:i/>
                <w:sz w:val="14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30.12.04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888.744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24.12.04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900.000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29.12.06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960.000</w:t>
            </w:r>
          </w:p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(2)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960.000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Binalar</w:t>
            </w:r>
            <w:r>
              <w:rPr>
                <w:rFonts w:ascii="Arial" w:hAnsi="Arial"/>
                <w:b/>
                <w:sz w:val="14"/>
              </w:rPr>
              <w:br/>
            </w:r>
            <w:r>
              <w:rPr>
                <w:rFonts w:ascii="Arial" w:hAnsi="Arial"/>
                <w:b/>
                <w:i/>
                <w:sz w:val="14"/>
              </w:rPr>
              <w:t>(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>Buildings</w:t>
            </w:r>
            <w:r>
              <w:rPr>
                <w:rFonts w:ascii="Arial" w:hAnsi="Arial"/>
                <w:b/>
                <w:i/>
                <w:sz w:val="14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Diğer Gayrimenkuller</w:t>
            </w:r>
            <w:r>
              <w:rPr>
                <w:rFonts w:ascii="Arial" w:hAnsi="Arial"/>
                <w:b/>
                <w:sz w:val="14"/>
              </w:rPr>
              <w:br/>
            </w:r>
            <w:r>
              <w:rPr>
                <w:rFonts w:ascii="Arial" w:hAnsi="Arial"/>
                <w:b/>
                <w:i/>
                <w:sz w:val="14"/>
              </w:rPr>
              <w:t>(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>Other Real Estate</w:t>
            </w:r>
            <w:r>
              <w:rPr>
                <w:rFonts w:ascii="Arial" w:hAnsi="Arial"/>
                <w:b/>
                <w:i/>
                <w:sz w:val="14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Gayrimenkul Projeleri</w:t>
            </w:r>
            <w:r>
              <w:rPr>
                <w:rFonts w:ascii="Arial" w:hAnsi="Arial"/>
                <w:b/>
                <w:sz w:val="14"/>
              </w:rPr>
              <w:br/>
            </w:r>
            <w:r>
              <w:rPr>
                <w:rFonts w:ascii="Arial" w:hAnsi="Arial"/>
                <w:b/>
                <w:i/>
                <w:sz w:val="14"/>
              </w:rPr>
              <w:t>(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>Real Estate Projects</w:t>
            </w:r>
            <w:r>
              <w:rPr>
                <w:rFonts w:ascii="Arial" w:hAnsi="Arial"/>
                <w:b/>
                <w:i/>
                <w:sz w:val="14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15.839.807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67%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GÜZELŞEHİR PROJESİ- VİLLALAR</w:t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i/>
                <w:sz w:val="14"/>
                <w:lang w:val="en-US"/>
              </w:rPr>
              <w:t>(GU</w:t>
            </w:r>
            <w:r>
              <w:rPr>
                <w:rFonts w:ascii="Arial" w:hAnsi="Arial"/>
                <w:i/>
                <w:sz w:val="14"/>
                <w:lang w:val="en-US"/>
              </w:rPr>
              <w:t>ZELSEHIR PROJECT - VILLAS)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sz w:val="14"/>
              </w:rPr>
              <w:t>İSTANBUL / BÜYÜKÇEKMECE'DE İNŞA EDİLMEKTE OLAN 675 VİLLALIK GÜZELŞEHİR PROJESİ'NDEN 25 ADET VİLLA</w:t>
            </w:r>
            <w:r>
              <w:rPr>
                <w:rFonts w:ascii="Arial" w:hAnsi="Arial"/>
                <w:i/>
                <w:sz w:val="14"/>
              </w:rPr>
              <w:t xml:space="preserve"> (</w:t>
            </w:r>
            <w:r>
              <w:rPr>
                <w:rFonts w:ascii="Arial" w:hAnsi="Arial"/>
                <w:i/>
                <w:sz w:val="14"/>
                <w:lang w:val="en-US"/>
              </w:rPr>
              <w:t>25 VILLAS OUT OF 675 VILLAS IN GUZELSEHIR PROJECT BEING CONSTRUCTED IN ISTANBUL / BUYUKCEKMECE)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28.01.05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8.319.384</w:t>
            </w:r>
          </w:p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(3)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19.01.05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</w:t>
            </w:r>
            <w:r>
              <w:rPr>
                <w:rFonts w:ascii="Arial" w:hAnsi="Arial"/>
                <w:sz w:val="14"/>
              </w:rPr>
              <w:t>.687.500</w:t>
            </w:r>
          </w:p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(4)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29.12.06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8.923.729</w:t>
            </w:r>
          </w:p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(5)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8.319.384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35%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GÜZELŞEHİR PROJESİ- ALIŞVERİŞ MERKEZİ</w:t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i/>
                <w:sz w:val="14"/>
              </w:rPr>
              <w:t>(GUZELSEHIR PROJECT – SHOPPING CENTRE)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İSTANBUL / BÜYÜKÇEKMECE'DE İNŞA EDİLMEKTE OLAN 675 VİLLALIK GÜZELŞEHİR PROJESİ'NDEKİ ALIŞVERİŞ MERKEZİ'NDEN 5.000 M2'LİK </w:t>
            </w:r>
            <w:r>
              <w:rPr>
                <w:rFonts w:ascii="Arial" w:hAnsi="Arial"/>
                <w:sz w:val="14"/>
              </w:rPr>
              <w:t>İŞ YERİ</w:t>
            </w:r>
            <w:r>
              <w:rPr>
                <w:rFonts w:ascii="Arial" w:hAnsi="Arial"/>
                <w:i/>
                <w:sz w:val="14"/>
              </w:rPr>
              <w:t xml:space="preserve"> (5,000 SQM RETAIL SPACE IN THE SHOPPING MALL COVERED IN GUZELSEHIR PROJECT BEING CONSTRUCTED IN İSTANBUL / BUYUKCEKMECE)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23.12.05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7.520.423</w:t>
            </w:r>
          </w:p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(6)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22.12.05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8.800.000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29.12.06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8.800.000</w:t>
            </w:r>
          </w:p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(7)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7.520.423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Gayrimenkule Dayalı Haklar </w:t>
            </w:r>
          </w:p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(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>Real Estate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 xml:space="preserve"> Backed Rights)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GAYRİMENKULLER TOPLAMI </w:t>
            </w:r>
            <w:r>
              <w:rPr>
                <w:rFonts w:ascii="Arial" w:hAnsi="Arial"/>
                <w:b/>
                <w:sz w:val="14"/>
              </w:rPr>
              <w:br/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>(REAL ESTATE TOTAL)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16.799.807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72%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</w:tbl>
    <w:p w:rsidR="00000000" w:rsidRDefault="008F6B20"/>
    <w:tbl>
      <w:tblPr>
        <w:tblW w:w="0" w:type="auto"/>
        <w:tblInd w:w="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9"/>
        <w:gridCol w:w="708"/>
        <w:gridCol w:w="1560"/>
        <w:gridCol w:w="850"/>
        <w:gridCol w:w="851"/>
        <w:gridCol w:w="992"/>
        <w:gridCol w:w="709"/>
        <w:gridCol w:w="850"/>
        <w:gridCol w:w="992"/>
        <w:gridCol w:w="719"/>
        <w:gridCol w:w="557"/>
        <w:gridCol w:w="709"/>
        <w:gridCol w:w="709"/>
        <w:gridCol w:w="567"/>
        <w:gridCol w:w="567"/>
        <w:gridCol w:w="708"/>
        <w:gridCol w:w="56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PARA VE SERMAYE PİYASASI ARAÇLARI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Para Birimi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Tarihi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Maliyeti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Miktarı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Bileşik Faiz Oranı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Vade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Birim</w:t>
            </w:r>
          </w:p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Değeri (YTL)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Portföy Değeri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Toplam </w:t>
            </w:r>
            <w:r>
              <w:rPr>
                <w:rFonts w:ascii="Arial" w:hAnsi="Arial"/>
                <w:sz w:val="14"/>
              </w:rPr>
              <w:t>Port. Değ. Oranı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i/>
                <w:sz w:val="14"/>
                <w:lang w:val="en-US"/>
              </w:rPr>
            </w:pPr>
            <w:r>
              <w:rPr>
                <w:rFonts w:ascii="Arial" w:hAnsi="Arial"/>
                <w:b/>
                <w:i/>
                <w:sz w:val="14"/>
                <w:lang w:val="en-US"/>
              </w:rPr>
              <w:t>CASH AND CAPITAL MARKET INSTRUMENTS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Currency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Date of Purchase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Purchase Cost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Amount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Compounded Interest Rate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Term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Unit Value (YTL)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Portfolio Value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>Ratio To Total Portfolio Value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Yatırım Fonları</w:t>
            </w:r>
          </w:p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i/>
                <w:sz w:val="14"/>
                <w:lang w:val="en-US"/>
              </w:rPr>
              <w:t>(Investment Funds</w:t>
            </w:r>
            <w:r>
              <w:rPr>
                <w:rFonts w:ascii="Arial" w:hAnsi="Arial"/>
                <w:b/>
                <w:i/>
                <w:sz w:val="14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1.57</w:t>
            </w:r>
            <w:r>
              <w:rPr>
                <w:rFonts w:ascii="Arial" w:hAnsi="Arial"/>
                <w:b/>
                <w:sz w:val="14"/>
              </w:rPr>
              <w:t>0.484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7%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Garanti Bankası B Tipi Likit Fon</w:t>
            </w:r>
            <w:r>
              <w:rPr>
                <w:rFonts w:ascii="Arial" w:hAnsi="Arial"/>
                <w:sz w:val="14"/>
              </w:rPr>
              <w:br/>
              <w:t>(</w:t>
            </w:r>
            <w:r>
              <w:rPr>
                <w:rFonts w:ascii="Arial" w:hAnsi="Arial"/>
                <w:sz w:val="14"/>
                <w:lang w:val="en-US"/>
              </w:rPr>
              <w:t xml:space="preserve">Garanti Bank </w:t>
            </w:r>
            <w:r>
              <w:rPr>
                <w:rFonts w:ascii="Arial" w:hAnsi="Arial"/>
                <w:i/>
                <w:sz w:val="14"/>
                <w:lang w:val="en-US"/>
              </w:rPr>
              <w:t>B Type Liquid Fund</w:t>
            </w:r>
            <w:r>
              <w:rPr>
                <w:rFonts w:ascii="Arial" w:hAnsi="Arial"/>
                <w:sz w:val="14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10.10.06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1.525.634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78.500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20,006166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1.570.484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7%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Vadeli / Vadesiz Döviz Tevdiat</w:t>
            </w:r>
          </w:p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(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>Foreign Exchange Deposits</w:t>
            </w:r>
            <w:r>
              <w:rPr>
                <w:rFonts w:ascii="Arial" w:hAnsi="Arial"/>
                <w:b/>
                <w:i/>
                <w:sz w:val="14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1.012.493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4%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sz w:val="14"/>
              </w:rPr>
              <w:t>Garanti Bankası – Va</w:t>
            </w:r>
            <w:r>
              <w:rPr>
                <w:rFonts w:ascii="Arial" w:hAnsi="Arial"/>
                <w:sz w:val="14"/>
              </w:rPr>
              <w:t>desiz USD Hesabı</w:t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i/>
                <w:sz w:val="14"/>
              </w:rPr>
              <w:t xml:space="preserve">(Garanti Bank – USD </w:t>
            </w:r>
            <w:r>
              <w:rPr>
                <w:rFonts w:ascii="Arial" w:hAnsi="Arial"/>
                <w:i/>
                <w:sz w:val="14"/>
                <w:lang w:val="en-US"/>
              </w:rPr>
              <w:t>Demand Deposit Account)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sz w:val="14"/>
              </w:rPr>
              <w:t>USD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17.11.06 ve muhtelif</w:t>
            </w:r>
          </w:p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 xml:space="preserve">(17.11.06 </w:t>
            </w:r>
            <w:r>
              <w:rPr>
                <w:rFonts w:ascii="Arial" w:hAnsi="Arial"/>
                <w:i/>
                <w:sz w:val="14"/>
                <w:lang w:val="en-US"/>
              </w:rPr>
              <w:t>and various</w:t>
            </w:r>
            <w:r>
              <w:rPr>
                <w:rFonts w:ascii="Arial" w:hAnsi="Arial"/>
                <w:i/>
                <w:sz w:val="14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192.171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134.486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1,4056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189.034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1%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sz w:val="14"/>
              </w:rPr>
              <w:t>Finansbank – Vadeli USD Hesabı</w:t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i/>
                <w:sz w:val="14"/>
              </w:rPr>
              <w:t>(Finansbank – USD</w:t>
            </w:r>
            <w:r>
              <w:rPr>
                <w:rFonts w:ascii="Arial" w:hAnsi="Arial"/>
                <w:i/>
                <w:sz w:val="14"/>
                <w:lang w:val="en-US"/>
              </w:rPr>
              <w:t xml:space="preserve"> Time Deposit Account)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sz w:val="14"/>
              </w:rPr>
              <w:t>USD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30.11.06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846.058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583.448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  <w:r>
              <w:rPr>
                <w:rFonts w:ascii="Arial" w:hAnsi="Arial"/>
                <w:sz w:val="14"/>
              </w:rPr>
              <w:t>,50%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04.01.07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1,4056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823.351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4%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sz w:val="14"/>
              </w:rPr>
              <w:t>Finansbank – Vadesiz USD Hesabı</w:t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i/>
                <w:sz w:val="14"/>
              </w:rPr>
              <w:t xml:space="preserve">(Finansbank – </w:t>
            </w:r>
            <w:r>
              <w:rPr>
                <w:rFonts w:ascii="Arial" w:hAnsi="Arial"/>
                <w:i/>
                <w:sz w:val="14"/>
                <w:lang w:val="en-US"/>
              </w:rPr>
              <w:t>USD Demand Deposit Account)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sz w:val="14"/>
              </w:rPr>
              <w:t>USD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27.09.06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116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1,4056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108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0%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Vadeli YTL Mevduat</w:t>
            </w:r>
          </w:p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 xml:space="preserve">(YTL Time 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>Deposits)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4.094.983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17%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sz w:val="14"/>
              </w:rPr>
              <w:t>Garanti Bankası – Vadeli YTL</w:t>
            </w:r>
            <w:r>
              <w:rPr>
                <w:rFonts w:ascii="Arial" w:hAnsi="Arial"/>
                <w:sz w:val="14"/>
              </w:rPr>
              <w:t xml:space="preserve"> Hesabı</w:t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i/>
                <w:sz w:val="14"/>
              </w:rPr>
              <w:t xml:space="preserve">(Garanti Bank – </w:t>
            </w:r>
            <w:r>
              <w:rPr>
                <w:rFonts w:ascii="Arial" w:hAnsi="Arial"/>
                <w:i/>
                <w:sz w:val="14"/>
                <w:lang w:val="en-US"/>
              </w:rPr>
              <w:t>YTL Time Deposit Account)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11.12.06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4.058.126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4.058.126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19,50%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12.01.07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4.094.983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17%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PARA VE SERMAYE PİYASASI ARAÇLARI TOPLAMI </w:t>
            </w:r>
            <w:r>
              <w:rPr>
                <w:rFonts w:ascii="Arial" w:hAnsi="Arial"/>
                <w:b/>
                <w:sz w:val="14"/>
              </w:rPr>
              <w:br/>
            </w:r>
            <w:r>
              <w:rPr>
                <w:rFonts w:ascii="Arial" w:hAnsi="Arial"/>
                <w:b/>
                <w:i/>
                <w:sz w:val="14"/>
              </w:rPr>
              <w:t>(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>CASH AND CAPITAL MARKET INSTRUMENTS TOTAL)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6.677.960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28%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</w:tbl>
    <w:p w:rsidR="00000000" w:rsidRDefault="008F6B20"/>
    <w:tbl>
      <w:tblPr>
        <w:tblW w:w="0" w:type="auto"/>
        <w:tblInd w:w="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94"/>
        <w:gridCol w:w="993"/>
        <w:gridCol w:w="850"/>
        <w:gridCol w:w="851"/>
        <w:gridCol w:w="992"/>
        <w:gridCol w:w="709"/>
        <w:gridCol w:w="850"/>
        <w:gridCol w:w="992"/>
        <w:gridCol w:w="709"/>
        <w:gridCol w:w="567"/>
        <w:gridCol w:w="709"/>
        <w:gridCol w:w="709"/>
        <w:gridCol w:w="567"/>
        <w:gridCol w:w="567"/>
        <w:gridCol w:w="708"/>
        <w:gridCol w:w="56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TOPLAM PORTFÖY D</w:t>
            </w:r>
            <w:r>
              <w:rPr>
                <w:rFonts w:ascii="Arial" w:hAnsi="Arial"/>
                <w:b/>
                <w:sz w:val="14"/>
              </w:rPr>
              <w:t>EĞERİ</w:t>
            </w:r>
            <w:r>
              <w:rPr>
                <w:rFonts w:ascii="Arial" w:hAnsi="Arial"/>
                <w:b/>
                <w:sz w:val="14"/>
              </w:rPr>
              <w:br/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>(TOTAL PORTFOLIO VALUE)</w:t>
            </w:r>
            <w:r>
              <w:rPr>
                <w:rFonts w:ascii="Arial" w:hAnsi="Arial"/>
                <w:b/>
                <w:sz w:val="14"/>
                <w:lang w:val="en-US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23.477.767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100%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34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HAZIR DEĞERLER </w:t>
            </w:r>
            <w:r>
              <w:rPr>
                <w:rFonts w:ascii="Arial" w:hAnsi="Arial"/>
                <w:i/>
                <w:sz w:val="14"/>
                <w:lang w:val="en-US"/>
              </w:rPr>
              <w:t>(LIQUID ASSETS)</w:t>
            </w:r>
            <w:r>
              <w:rPr>
                <w:rFonts w:ascii="Arial" w:hAnsi="Arial"/>
                <w:sz w:val="14"/>
                <w:lang w:val="en-US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941.600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4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ALACAKLAR </w:t>
            </w: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>ACCOUNTS RECEIVABLE)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2.035.278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4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DİĞER AKTİFLER </w:t>
            </w: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>OTHER ASSETS)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3.144.651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BORÇLAR </w:t>
            </w:r>
            <w:r>
              <w:rPr>
                <w:rFonts w:ascii="Arial" w:hAnsi="Arial"/>
                <w:i/>
                <w:sz w:val="14"/>
                <w:lang w:val="en-US"/>
              </w:rPr>
              <w:t>(ACCOUNTS PAYABLE)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1.812.387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4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NET AKTİF DEĞER 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>(NET ASSET VALUE)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27.786.909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PAY SAYISI </w:t>
            </w:r>
            <w:r>
              <w:rPr>
                <w:rFonts w:ascii="Arial" w:hAnsi="Arial"/>
                <w:i/>
                <w:sz w:val="14"/>
                <w:lang w:val="en-US"/>
              </w:rPr>
              <w:t>(NUMBER OF SHARES)</w:t>
            </w:r>
            <w:r>
              <w:rPr>
                <w:rFonts w:ascii="Arial" w:hAnsi="Arial"/>
                <w:sz w:val="14"/>
                <w:lang w:val="en-US"/>
              </w:rPr>
              <w:t> (x100)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33.162.530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73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PAY BAŞI NET AKTİF DEĞERİ (YTL) 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 xml:space="preserve">(NET ASSET VALUE 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>PER SHARE)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0,84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73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ORTAKLIK HİSSE SENEDİNİN İMKB SON SEANS AĞIRLIKLI ORTALAMA FİYATI</w:t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i/>
                <w:sz w:val="14"/>
                <w:lang w:val="en-US"/>
              </w:rPr>
              <w:t>(WEIGHTED AVERAGE SHARE PRICE IN THE LAST SESSION OF ISE)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1,41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</w:tbl>
    <w:p w:rsidR="00000000" w:rsidRDefault="008F6B20"/>
    <w:p w:rsidR="00000000" w:rsidRDefault="008F6B20">
      <w:r>
        <w:br w:type="page"/>
      </w:r>
    </w:p>
    <w:tbl>
      <w:tblPr>
        <w:tblW w:w="0" w:type="auto"/>
        <w:tblInd w:w="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1"/>
        <w:gridCol w:w="2947"/>
        <w:gridCol w:w="850"/>
        <w:gridCol w:w="851"/>
        <w:gridCol w:w="850"/>
        <w:gridCol w:w="851"/>
        <w:gridCol w:w="850"/>
        <w:gridCol w:w="851"/>
        <w:gridCol w:w="850"/>
        <w:gridCol w:w="709"/>
        <w:gridCol w:w="567"/>
        <w:gridCol w:w="709"/>
        <w:gridCol w:w="709"/>
        <w:gridCol w:w="567"/>
        <w:gridCol w:w="567"/>
        <w:gridCol w:w="708"/>
        <w:gridCol w:w="56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DİĞER BİLGİLER</w:t>
            </w:r>
            <w:r>
              <w:rPr>
                <w:rFonts w:ascii="Arial" w:hAnsi="Arial"/>
                <w:b/>
                <w:sz w:val="14"/>
              </w:rPr>
              <w:br/>
            </w:r>
            <w:r>
              <w:rPr>
                <w:rFonts w:ascii="Arial" w:hAnsi="Arial"/>
                <w:b/>
                <w:i/>
                <w:sz w:val="14"/>
              </w:rPr>
              <w:t>(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>OTHER INFORMATION</w:t>
            </w:r>
            <w:r>
              <w:rPr>
                <w:rFonts w:ascii="Arial" w:hAnsi="Arial"/>
                <w:b/>
                <w:i/>
                <w:sz w:val="14"/>
              </w:rPr>
              <w:t>)</w:t>
            </w: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Portföydeki Pr</w:t>
            </w:r>
            <w:r>
              <w:rPr>
                <w:rFonts w:ascii="Arial" w:hAnsi="Arial"/>
                <w:b/>
                <w:sz w:val="14"/>
              </w:rPr>
              <w:t xml:space="preserve">ojelere İlişkin Olarak Yıllar İtibariyle Planlanan Ödeme Tutarları </w:t>
            </w:r>
          </w:p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i/>
                <w:sz w:val="14"/>
                <w:lang w:val="en-US"/>
              </w:rPr>
              <w:t>(Projected Payments for the Projects in the Portfolio in the Following Years)</w:t>
            </w:r>
            <w:r>
              <w:rPr>
                <w:rFonts w:ascii="Arial" w:hAnsi="Arial"/>
                <w:b/>
                <w:sz w:val="14"/>
                <w:lang w:val="en-US"/>
              </w:rPr>
              <w:t>: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2008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2009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Güzelşehir Projesi – Villalar </w:t>
            </w:r>
          </w:p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>Güzelse</w:t>
            </w:r>
            <w:r>
              <w:rPr>
                <w:rFonts w:ascii="Arial" w:hAnsi="Arial"/>
                <w:i/>
                <w:sz w:val="14"/>
                <w:lang w:val="en-US"/>
              </w:rPr>
              <w:t>hir Project - Villas)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Güzelşehir Projesi – Alışveriş Merkezi </w:t>
            </w:r>
          </w:p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 xml:space="preserve">(Güzelsehir Project – </w:t>
            </w:r>
            <w:r>
              <w:rPr>
                <w:rFonts w:ascii="Arial" w:hAnsi="Arial"/>
                <w:i/>
                <w:sz w:val="14"/>
                <w:lang w:val="en-US"/>
              </w:rPr>
              <w:t>Shopping Centre)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Alınan Kredilere İlişkin Açıklamalar :</w:t>
            </w:r>
          </w:p>
          <w:p w:rsidR="00000000" w:rsidRDefault="008F6B20">
            <w:pPr>
              <w:spacing w:before="20" w:after="20"/>
              <w:rPr>
                <w:rFonts w:ascii="Arial" w:hAnsi="Arial"/>
                <w:b/>
                <w:i/>
                <w:sz w:val="14"/>
                <w:lang w:val="en-US"/>
              </w:rPr>
            </w:pPr>
            <w:r>
              <w:rPr>
                <w:rFonts w:ascii="Arial" w:hAnsi="Arial"/>
                <w:b/>
                <w:i/>
                <w:sz w:val="14"/>
                <w:lang w:val="en-US"/>
              </w:rPr>
              <w:t>(Information About Credits Used)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Kre</w:t>
            </w:r>
            <w:r>
              <w:rPr>
                <w:rFonts w:ascii="Arial" w:hAnsi="Arial"/>
                <w:sz w:val="14"/>
              </w:rPr>
              <w:t xml:space="preserve">di Alınan Kuruluş </w:t>
            </w:r>
            <w:r>
              <w:rPr>
                <w:rFonts w:ascii="Arial" w:hAnsi="Arial"/>
                <w:i/>
                <w:sz w:val="14"/>
                <w:lang w:val="en-US"/>
              </w:rPr>
              <w:t>(Company Extending Loan)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Para Birimi</w:t>
            </w:r>
          </w:p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>Monetary Unit</w:t>
            </w:r>
            <w:r>
              <w:rPr>
                <w:rFonts w:ascii="Arial" w:hAnsi="Arial"/>
                <w:i/>
                <w:sz w:val="14"/>
              </w:rPr>
              <w:t>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Kredi Tutarı (İlgili Para Birimi Cinsinden) </w:t>
            </w: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>Credit Balance in Monetary Unit</w:t>
            </w:r>
            <w:r>
              <w:rPr>
                <w:rFonts w:ascii="Arial" w:hAnsi="Arial"/>
                <w:i/>
                <w:sz w:val="14"/>
              </w:rPr>
              <w:t>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Kredi Tutarı (YTL)</w:t>
            </w:r>
          </w:p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>Credit Balance in</w:t>
            </w:r>
            <w:r>
              <w:rPr>
                <w:rFonts w:ascii="Arial" w:hAnsi="Arial"/>
                <w:i/>
                <w:sz w:val="14"/>
              </w:rPr>
              <w:t xml:space="preserve"> YTL)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Vadesi </w:t>
            </w: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>Term</w:t>
            </w:r>
            <w:r>
              <w:rPr>
                <w:rFonts w:ascii="Arial" w:hAnsi="Arial"/>
                <w:i/>
                <w:sz w:val="14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Faiz Oranı</w:t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>Interest Rate</w:t>
            </w:r>
            <w:r>
              <w:rPr>
                <w:rFonts w:ascii="Arial" w:hAnsi="Arial"/>
                <w:i/>
                <w:sz w:val="14"/>
              </w:rPr>
              <w:t>)</w:t>
            </w:r>
          </w:p>
        </w:tc>
        <w:tc>
          <w:tcPr>
            <w:tcW w:w="59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Açıklamalar</w:t>
            </w:r>
          </w:p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>Descriptio</w:t>
            </w:r>
            <w:r>
              <w:rPr>
                <w:rFonts w:ascii="Arial" w:hAnsi="Arial"/>
                <w:i/>
                <w:sz w:val="14"/>
                <w:lang w:val="en-US"/>
              </w:rPr>
              <w:t>n</w:t>
            </w:r>
            <w:r>
              <w:rPr>
                <w:rFonts w:ascii="Arial" w:hAnsi="Arial"/>
                <w:i/>
                <w:sz w:val="14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Finans Bank A.Ş.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USD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2.000.000,00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2.824.800,00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 ay</w:t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i/>
                <w:sz w:val="14"/>
              </w:rPr>
              <w:t xml:space="preserve">(32 </w:t>
            </w:r>
            <w:r>
              <w:rPr>
                <w:rFonts w:ascii="Arial" w:hAnsi="Arial"/>
                <w:i/>
                <w:sz w:val="14"/>
                <w:lang w:val="en-US"/>
              </w:rPr>
              <w:t>months</w:t>
            </w:r>
            <w:r>
              <w:rPr>
                <w:rFonts w:ascii="Arial" w:hAnsi="Arial"/>
                <w:i/>
                <w:sz w:val="14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Yıllık %8</w:t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i/>
                <w:sz w:val="14"/>
              </w:rPr>
              <w:t xml:space="preserve">(8% </w:t>
            </w:r>
            <w:r>
              <w:rPr>
                <w:rFonts w:ascii="Arial" w:hAnsi="Arial"/>
                <w:i/>
                <w:sz w:val="14"/>
                <w:lang w:val="en-US"/>
              </w:rPr>
              <w:t>Annual</w:t>
            </w:r>
            <w:r>
              <w:rPr>
                <w:rFonts w:ascii="Arial" w:hAnsi="Arial"/>
                <w:i/>
                <w:sz w:val="14"/>
              </w:rPr>
              <w:t>)</w:t>
            </w:r>
          </w:p>
        </w:tc>
        <w:tc>
          <w:tcPr>
            <w:tcW w:w="59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Çekmeköy Projesi'nde kullanılmak üzere Finans Bank A.Ş.'den 2 milyon dolar tutarında kredi alınmıştır. Kredinin teminatı için 2.186.000 USD'lik teminat senedi verilm</w:t>
            </w:r>
            <w:r>
              <w:rPr>
                <w:rFonts w:ascii="Arial" w:hAnsi="Arial"/>
                <w:sz w:val="14"/>
              </w:rPr>
              <w:t xml:space="preserve">iş ve kalan bakiye için 583.448 USD'lik mevduat bloke edilmiştir. 31.12.2006 itibariyle kalan ana para borcu 555.540 USD'dir. Kredi  geri ödemeleri 31.12.2007'de tamamlanacaktır. (31.12.2006 Kuru: 1,4124) </w:t>
            </w:r>
            <w:r>
              <w:rPr>
                <w:rFonts w:ascii="Arial" w:hAnsi="Arial"/>
                <w:i/>
                <w:sz w:val="14"/>
                <w:lang w:val="en-US"/>
              </w:rPr>
              <w:t>(A loan of 2 million US dollars from Finans Bank A.</w:t>
            </w:r>
            <w:r>
              <w:rPr>
                <w:rFonts w:ascii="Arial" w:hAnsi="Arial"/>
                <w:i/>
                <w:sz w:val="14"/>
                <w:lang w:val="en-US"/>
              </w:rPr>
              <w:t>Ş. has been used to finance Çekmeköy Project. For the credit guarantee, a security bond of 2,186,000 US dollars was given and for the remaining balance, time deposit of 583,448 US dollars was blocked. The remaining capital balance as of 31.12.2006 is 555,5</w:t>
            </w:r>
            <w:r>
              <w:rPr>
                <w:rFonts w:ascii="Arial" w:hAnsi="Arial"/>
                <w:i/>
                <w:sz w:val="14"/>
                <w:lang w:val="en-US"/>
              </w:rPr>
              <w:t>40 US dollars. Credit back payments will be completed on 31.12.2007. (31.12.2006 exchange rate: 1.4124))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3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Rehin, İpotek ve Teminatlara İlişkin Açıklamalar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i/>
                <w:sz w:val="14"/>
                <w:lang w:val="en-US"/>
              </w:rPr>
              <w:t>(Information About Collaterals, Mortgages and Pledges)</w:t>
            </w:r>
            <w:r>
              <w:rPr>
                <w:rFonts w:ascii="Arial" w:hAnsi="Arial"/>
                <w:sz w:val="14"/>
                <w:lang w:val="en-US"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34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Çekmeköy Projesi'nde kullanılmak üzere Finan</w:t>
            </w:r>
            <w:r>
              <w:rPr>
                <w:rFonts w:ascii="Arial" w:hAnsi="Arial"/>
                <w:sz w:val="14"/>
              </w:rPr>
              <w:t>s Bank A.Ş.'den alınan 2 milyon dolar tutarındaki kredinin teminatı için 2.186.000 USD'lik teminat senedi verilmiş ve kalan bakiye için 583.448 USD'lik mevduat bloke edilmiştir. (</w:t>
            </w:r>
            <w:r>
              <w:rPr>
                <w:rFonts w:ascii="Arial" w:hAnsi="Arial"/>
                <w:i/>
                <w:sz w:val="14"/>
                <w:lang w:val="en-US"/>
              </w:rPr>
              <w:t>For the guarantee of the credit amounting 2 million US dollars from Finans Ba</w:t>
            </w:r>
            <w:r>
              <w:rPr>
                <w:rFonts w:ascii="Arial" w:hAnsi="Arial"/>
                <w:i/>
                <w:sz w:val="14"/>
                <w:lang w:val="en-US"/>
              </w:rPr>
              <w:t>nk A.Ş. to finance Çekmeköy Project, a security bond of 2,186,000 US dollars was given and for the remaining balance, time deposit of 583,448 US dollars was blocked.</w:t>
            </w:r>
            <w:r>
              <w:rPr>
                <w:rFonts w:ascii="Arial" w:hAnsi="Arial"/>
                <w:i/>
                <w:sz w:val="14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3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Bir Önceki Tabloya Göre Değişiklikler</w:t>
            </w:r>
            <w:r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>Changes Compared to the Previous Table)</w:t>
            </w:r>
            <w:r>
              <w:rPr>
                <w:rFonts w:ascii="Arial" w:hAnsi="Arial"/>
                <w:i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3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Portfö</w:t>
            </w:r>
            <w:r>
              <w:rPr>
                <w:rFonts w:ascii="Arial" w:hAnsi="Arial"/>
                <w:sz w:val="14"/>
              </w:rPr>
              <w:t>yümüzde yer alan İhlas Plaza'daki 3.681 m2 lik iş yeri 14.11.2006 tarihinde İhlas Yayın Holding A.Ş.'ye 7.360.000 YTL + KDV bedelle satılarak portföyden çıkarılmıştır. Söz konusu gayrimenkul üzerindeki Finansbank ipoteği kaldırılarak, kredinin kalan bakiye</w:t>
            </w:r>
            <w:r>
              <w:rPr>
                <w:rFonts w:ascii="Arial" w:hAnsi="Arial"/>
                <w:sz w:val="14"/>
              </w:rPr>
              <w:t xml:space="preserve">sinin teminatı için 583.448 USD vadeli mevduat bloke edilmiştir. </w:t>
            </w:r>
            <w:r>
              <w:rPr>
                <w:rFonts w:ascii="Arial" w:hAnsi="Arial"/>
                <w:i/>
                <w:sz w:val="14"/>
                <w:lang w:val="en-US"/>
              </w:rPr>
              <w:t>(The office space of 3,681 square meters in İhlas Plaza has been excluded from the portfolio by selling to İhlas Yayın Holding A.Ş. on 14.11.2006 for 7,360,000 YTL + VAT. The Finansbank mortg</w:t>
            </w:r>
            <w:r>
              <w:rPr>
                <w:rFonts w:ascii="Arial" w:hAnsi="Arial"/>
                <w:i/>
                <w:sz w:val="14"/>
                <w:lang w:val="en-US"/>
              </w:rPr>
              <w:t>age on the said real estate has been removed and for the guarantee of the remaining credit balance, time deposit of 583,448 US dollars has been blocked.</w:t>
            </w:r>
            <w:r>
              <w:rPr>
                <w:rFonts w:ascii="Arial" w:hAnsi="Arial"/>
                <w:i/>
                <w:sz w:val="14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3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Portföyümüzde yer alan Çekmeköy Park Konaklar Projesi'nin inşaatı tamamlanmış ve villalar müşterilere</w:t>
            </w:r>
            <w:r>
              <w:rPr>
                <w:rFonts w:ascii="Arial" w:hAnsi="Arial"/>
                <w:sz w:val="14"/>
              </w:rPr>
              <w:t xml:space="preserve"> devir yapılarak portföyümüzden çıkarılmıştır. </w:t>
            </w: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>The construction of Çekmeköy Park Konaklar Project has been completed and the villas has been excluded from the portfolio by title deed transfers to the customers.</w:t>
            </w:r>
            <w:r>
              <w:rPr>
                <w:rFonts w:ascii="Arial" w:hAnsi="Arial"/>
                <w:i/>
                <w:sz w:val="14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3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Ortaklığa Verilmiş Olan Ek Süreler ve Diğe</w:t>
            </w:r>
            <w:r>
              <w:rPr>
                <w:rFonts w:ascii="Arial" w:hAnsi="Arial"/>
                <w:b/>
                <w:sz w:val="14"/>
              </w:rPr>
              <w:t xml:space="preserve">r Yasal Yükümlülüklere İlişkin Bilgiler </w:t>
            </w:r>
            <w:r>
              <w:rPr>
                <w:rFonts w:ascii="Arial" w:hAnsi="Arial"/>
                <w:b/>
                <w:i/>
                <w:sz w:val="14"/>
              </w:rPr>
              <w:t>(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>Information About Additional Time Extended to the Company and Other Legal Obligations)</w:t>
            </w:r>
            <w:r>
              <w:rPr>
                <w:rFonts w:ascii="Arial" w:hAnsi="Arial"/>
                <w:b/>
                <w:sz w:val="14"/>
                <w:lang w:val="en-US"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3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Yoktur. (</w:t>
            </w:r>
            <w:r>
              <w:rPr>
                <w:rFonts w:ascii="Arial" w:hAnsi="Arial"/>
                <w:i/>
                <w:sz w:val="14"/>
                <w:lang w:val="en-US"/>
              </w:rPr>
              <w:t>None</w:t>
            </w:r>
            <w:r>
              <w:rPr>
                <w:rFonts w:ascii="Arial" w:hAnsi="Arial"/>
                <w:sz w:val="14"/>
              </w:rPr>
              <w:t>)</w:t>
            </w:r>
          </w:p>
        </w:tc>
      </w:tr>
    </w:tbl>
    <w:p w:rsidR="00000000" w:rsidRDefault="008F6B20"/>
    <w:p w:rsidR="00000000" w:rsidRDefault="008F6B20">
      <w:r>
        <w:br w:type="page"/>
      </w:r>
    </w:p>
    <w:tbl>
      <w:tblPr>
        <w:tblW w:w="0" w:type="auto"/>
        <w:tblInd w:w="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3"/>
        <w:gridCol w:w="2199"/>
        <w:gridCol w:w="1040"/>
        <w:gridCol w:w="1580"/>
        <w:gridCol w:w="3220"/>
        <w:gridCol w:w="948"/>
        <w:gridCol w:w="427"/>
        <w:gridCol w:w="508"/>
        <w:gridCol w:w="26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  <w:lang w:eastAsia="ja-JP"/>
              </w:rPr>
            </w:pPr>
            <w:r>
              <w:rPr>
                <w:rFonts w:ascii="Arial" w:hAnsi="Arial"/>
                <w:b/>
                <w:sz w:val="14"/>
                <w:lang w:eastAsia="ja-JP"/>
              </w:rPr>
              <w:t xml:space="preserve">PORTFÖY SINIRLAMALARI KONTROLLERİ </w:t>
            </w:r>
          </w:p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  <w:lang w:eastAsia="ja-JP"/>
              </w:rPr>
            </w:pPr>
            <w:r>
              <w:rPr>
                <w:rFonts w:ascii="Arial" w:hAnsi="Arial"/>
                <w:b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b/>
                <w:i/>
                <w:sz w:val="14"/>
                <w:lang w:val="en-US" w:eastAsia="ja-JP"/>
              </w:rPr>
              <w:t>PORTFOLIO RESTRICTIONS CONTROL</w:t>
            </w:r>
            <w:r>
              <w:rPr>
                <w:rFonts w:ascii="Arial" w:hAnsi="Arial"/>
                <w:b/>
                <w:i/>
                <w:sz w:val="14"/>
                <w:lang w:eastAsia="ja-JP"/>
              </w:rPr>
              <w:t>)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i/>
                <w:sz w:val="14"/>
                <w:lang w:eastAsia="ja-JP"/>
              </w:rPr>
            </w:pPr>
            <w:r>
              <w:rPr>
                <w:rFonts w:ascii="Arial" w:hAnsi="Arial"/>
                <w:b/>
                <w:sz w:val="14"/>
                <w:lang w:eastAsia="ja-JP"/>
              </w:rPr>
              <w:t xml:space="preserve">1. %50 Kontrolü </w:t>
            </w:r>
            <w:r>
              <w:rPr>
                <w:rFonts w:ascii="Arial" w:hAnsi="Arial"/>
                <w:b/>
                <w:i/>
                <w:sz w:val="14"/>
                <w:lang w:eastAsia="ja-JP"/>
              </w:rPr>
              <w:t xml:space="preserve">(50% </w:t>
            </w:r>
            <w:r>
              <w:rPr>
                <w:rFonts w:ascii="Arial" w:hAnsi="Arial"/>
                <w:b/>
                <w:i/>
                <w:sz w:val="14"/>
                <w:lang w:val="en-US" w:eastAsia="ja-JP"/>
              </w:rPr>
              <w:t>Control</w:t>
            </w:r>
            <w:r>
              <w:rPr>
                <w:rFonts w:ascii="Arial" w:hAnsi="Arial"/>
                <w:b/>
                <w:i/>
                <w:sz w:val="14"/>
                <w:lang w:eastAsia="ja-JP"/>
              </w:rPr>
              <w:t>)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A) GAYRİMENKULLER, GAYRİMENKUL PROJELERİ VE GAYRİMENKULE DAYALI HAKLAR </w:t>
            </w:r>
          </w:p>
          <w:p w:rsidR="00000000" w:rsidRDefault="008F6B20">
            <w:pPr>
              <w:spacing w:before="20" w:after="20"/>
              <w:rPr>
                <w:rFonts w:ascii="Arial" w:hAnsi="Arial"/>
                <w:i/>
                <w:sz w:val="14"/>
                <w:lang w:val="en-US"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    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(REAL ESTATE, REAL ESTATE PROJECTS AND REAL ESTATE BACKED RIGHTS)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16.799.807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B) PARA VE SERMAYE PİYASASI ARAÇLARININ ÜÇ YILLIK GAYRİMENKUL ÖDEMELERİ İÇİN TUTULAN KISMI</w:t>
            </w:r>
          </w:p>
          <w:p w:rsidR="00000000" w:rsidRDefault="008F6B20">
            <w:pPr>
              <w:spacing w:before="20" w:after="20"/>
              <w:rPr>
                <w:rFonts w:ascii="Arial" w:hAnsi="Arial"/>
                <w:i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    </w:t>
            </w:r>
            <w:r>
              <w:rPr>
                <w:rFonts w:ascii="Arial" w:hAnsi="Arial"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PA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RT OF MONEY AND CAPITAL MARKET INSTRUMENTS RESERVED FOR NEXT THREE YEARS’ REAL ESTATE PAYMENTS)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6.677.960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C) GAYRİMENKULLER VE PARA VE SERMAYE PİYASASI ARAÇLARININ ÜÇ YILLIK GAYRİMENKUL ÖDEMELERİ İÇİN TUTULAN KISMI (A+B)</w:t>
            </w:r>
            <w:r>
              <w:rPr>
                <w:rFonts w:ascii="Arial" w:hAnsi="Arial"/>
                <w:sz w:val="14"/>
                <w:lang w:eastAsia="ja-JP"/>
              </w:rPr>
              <w:br/>
              <w:t xml:space="preserve">    </w:t>
            </w:r>
            <w:r>
              <w:rPr>
                <w:rFonts w:ascii="Arial" w:hAnsi="Arial"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REAL ESTATES AND PART OF M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ONEY AND CAPITAL MARKET INSTRUMENTS RESERVED FOR NEXT THREE YEARS’ REAL ESTATE PAYMENTS)</w:t>
            </w:r>
            <w:r>
              <w:rPr>
                <w:rFonts w:ascii="Arial" w:hAnsi="Arial"/>
                <w:i/>
                <w:sz w:val="14"/>
                <w:lang w:eastAsia="ja-JP"/>
              </w:rPr>
              <w:t xml:space="preserve"> (A+B)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23.477.767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100%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D) İŞTİRAKLER </w:t>
            </w:r>
            <w:r>
              <w:rPr>
                <w:rFonts w:ascii="Arial" w:hAnsi="Arial"/>
                <w:i/>
                <w:sz w:val="14"/>
                <w:lang w:eastAsia="ja-JP"/>
              </w:rPr>
              <w:t>(SUBSIDIARIES)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E) YATIRIM AMAÇLI TUTULAN PARA VE SERMAYE PİYASASI ARAÇLARI </w:t>
            </w:r>
          </w:p>
          <w:p w:rsidR="00000000" w:rsidRDefault="008F6B20">
            <w:pPr>
              <w:spacing w:before="20" w:after="20"/>
              <w:rPr>
                <w:rFonts w:ascii="Arial" w:hAnsi="Arial"/>
                <w:i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    </w:t>
            </w:r>
            <w:r>
              <w:rPr>
                <w:rFonts w:ascii="Arial" w:hAnsi="Arial"/>
                <w:i/>
                <w:sz w:val="14"/>
                <w:lang w:eastAsia="ja-JP"/>
              </w:rPr>
              <w:t xml:space="preserve">(MONEY AND CAPITAL 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MARKET INSTRUMENTS RESE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RVED FOR INVESTMENT PURPOSE)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F) İŞTİRAKLER VE YATIRIM AMAÇLI TUTULAN PARA VE SERMAYE PİYASASI ARAÇLARI (D+E)</w:t>
            </w:r>
            <w:r>
              <w:rPr>
                <w:rFonts w:ascii="Arial" w:hAnsi="Arial"/>
                <w:sz w:val="14"/>
                <w:lang w:eastAsia="ja-JP"/>
              </w:rPr>
              <w:br/>
              <w:t xml:space="preserve">    </w:t>
            </w:r>
            <w:r>
              <w:rPr>
                <w:rFonts w:ascii="Arial" w:hAnsi="Arial"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SUBSIDIARIES AND MONEY AND CAPITAL MARKET INSTRUMENTS RESERVED FOR INVESTMENT PURPOSE</w:t>
            </w:r>
            <w:r>
              <w:rPr>
                <w:rFonts w:ascii="Arial" w:hAnsi="Arial"/>
                <w:i/>
                <w:sz w:val="14"/>
                <w:lang w:eastAsia="ja-JP"/>
              </w:rPr>
              <w:t>) (D+E)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0%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i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TOPLAM PORTFÖY DEĞERİ </w:t>
            </w:r>
            <w:r>
              <w:rPr>
                <w:rFonts w:ascii="Arial" w:hAnsi="Arial"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TOTAL PORTFO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LIO VALUE</w:t>
            </w:r>
            <w:r>
              <w:rPr>
                <w:rFonts w:ascii="Arial" w:hAnsi="Arial"/>
                <w:i/>
                <w:sz w:val="14"/>
                <w:lang w:eastAsia="ja-JP"/>
              </w:rPr>
              <w:t>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23.477.767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i/>
                <w:sz w:val="14"/>
                <w:lang w:eastAsia="ja-JP"/>
              </w:rPr>
            </w:pPr>
            <w:r>
              <w:rPr>
                <w:rFonts w:ascii="Arial" w:hAnsi="Arial"/>
                <w:b/>
                <w:sz w:val="14"/>
                <w:lang w:eastAsia="ja-JP"/>
              </w:rPr>
              <w:t xml:space="preserve">2. Mevduat Kontrolü </w:t>
            </w:r>
            <w:r>
              <w:rPr>
                <w:rFonts w:ascii="Arial" w:hAnsi="Arial"/>
                <w:b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b/>
                <w:i/>
                <w:sz w:val="14"/>
                <w:lang w:val="en-US" w:eastAsia="ja-JP"/>
              </w:rPr>
              <w:t>Bank Deposits Control</w:t>
            </w:r>
            <w:r>
              <w:rPr>
                <w:rFonts w:ascii="Arial" w:hAnsi="Arial"/>
                <w:b/>
                <w:i/>
                <w:sz w:val="14"/>
                <w:lang w:eastAsia="ja-JP"/>
              </w:rPr>
              <w:t>)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A) Vadeli / Vadesiz Döviz Tevdiat 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(Foreign Exchange Time and Demand Deposit)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1.012.493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B) Vadeli TL Mevduat 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(TL Time Deposit)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4.094.983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C) Toplam Yatırım Amaçlı Mevduat 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(Tot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al Bank Deposits for Investment Purpose)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5.107.476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22%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TOPLAM PORTFÖY DEĞERİ  </w:t>
            </w:r>
            <w:r>
              <w:rPr>
                <w:rFonts w:ascii="Arial" w:hAnsi="Arial"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TOTAL PORTFOLIO VALUE</w:t>
            </w:r>
            <w:r>
              <w:rPr>
                <w:rFonts w:ascii="Arial" w:hAnsi="Arial"/>
                <w:i/>
                <w:sz w:val="14"/>
                <w:lang w:eastAsia="ja-JP"/>
              </w:rPr>
              <w:t>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23.477.767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i/>
                <w:sz w:val="14"/>
                <w:lang w:eastAsia="ja-JP"/>
              </w:rPr>
            </w:pPr>
            <w:r>
              <w:rPr>
                <w:rFonts w:ascii="Arial" w:hAnsi="Arial"/>
                <w:b/>
                <w:sz w:val="14"/>
                <w:lang w:eastAsia="ja-JP"/>
              </w:rPr>
              <w:t xml:space="preserve">3. İştirak Sınırı Kontrolü </w:t>
            </w:r>
            <w:r>
              <w:rPr>
                <w:rFonts w:ascii="Arial" w:hAnsi="Arial"/>
                <w:b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b/>
                <w:i/>
                <w:sz w:val="14"/>
                <w:lang w:val="en-US" w:eastAsia="ja-JP"/>
              </w:rPr>
              <w:t>Subsidiary Limit Control</w:t>
            </w:r>
            <w:r>
              <w:rPr>
                <w:rFonts w:ascii="Arial" w:hAnsi="Arial"/>
                <w:b/>
                <w:i/>
                <w:sz w:val="14"/>
                <w:lang w:eastAsia="ja-JP"/>
              </w:rPr>
              <w:t>)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A) … A.Ş. (… </w:t>
            </w:r>
            <w:r>
              <w:rPr>
                <w:rFonts w:ascii="Arial" w:hAnsi="Arial"/>
                <w:sz w:val="14"/>
                <w:lang w:val="en-US" w:eastAsia="ja-JP"/>
              </w:rPr>
              <w:t>Inc.</w:t>
            </w:r>
            <w:r>
              <w:rPr>
                <w:rFonts w:ascii="Arial" w:hAnsi="Arial"/>
                <w:sz w:val="14"/>
                <w:lang w:eastAsia="ja-JP"/>
              </w:rPr>
              <w:t>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B) … A.Ş. (… </w:t>
            </w:r>
            <w:r>
              <w:rPr>
                <w:rFonts w:ascii="Arial" w:hAnsi="Arial"/>
                <w:sz w:val="14"/>
                <w:lang w:val="en-US" w:eastAsia="ja-JP"/>
              </w:rPr>
              <w:t>Inc.</w:t>
            </w:r>
            <w:r>
              <w:rPr>
                <w:rFonts w:ascii="Arial" w:hAnsi="Arial"/>
                <w:sz w:val="14"/>
                <w:lang w:eastAsia="ja-JP"/>
              </w:rPr>
              <w:t>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C) İştirakler Toplamı </w:t>
            </w:r>
            <w:r>
              <w:rPr>
                <w:rFonts w:ascii="Arial" w:hAnsi="Arial"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Tota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l Subsidiaries</w:t>
            </w:r>
            <w:r>
              <w:rPr>
                <w:rFonts w:ascii="Arial" w:hAnsi="Arial"/>
                <w:i/>
                <w:sz w:val="14"/>
                <w:lang w:eastAsia="ja-JP"/>
              </w:rPr>
              <w:t>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0%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TOPLAM PORTFÖY DEĞERİ  </w:t>
            </w:r>
            <w:r>
              <w:rPr>
                <w:rFonts w:ascii="Arial" w:hAnsi="Arial"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TOTAL PORTFOLIO VALUE</w:t>
            </w:r>
            <w:r>
              <w:rPr>
                <w:rFonts w:ascii="Arial" w:hAnsi="Arial"/>
                <w:i/>
                <w:sz w:val="14"/>
                <w:lang w:eastAsia="ja-JP"/>
              </w:rPr>
              <w:t>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23.477.767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b/>
                <w:sz w:val="14"/>
                <w:lang w:eastAsia="ja-JP"/>
              </w:rPr>
            </w:pPr>
            <w:r>
              <w:rPr>
                <w:rFonts w:ascii="Arial" w:hAnsi="Arial"/>
                <w:b/>
                <w:sz w:val="14"/>
                <w:lang w:eastAsia="ja-JP"/>
              </w:rPr>
              <w:t xml:space="preserve">4. Atıl tutulan Arsa / Arazi Sınırı Kontrolü </w:t>
            </w:r>
            <w:r>
              <w:rPr>
                <w:rFonts w:ascii="Arial" w:hAnsi="Arial"/>
                <w:b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b/>
                <w:i/>
                <w:sz w:val="14"/>
                <w:lang w:val="en-US" w:eastAsia="ja-JP"/>
              </w:rPr>
              <w:t>Idle Land Limit Control</w:t>
            </w:r>
            <w:r>
              <w:rPr>
                <w:rFonts w:ascii="Arial" w:hAnsi="Arial"/>
                <w:b/>
                <w:i/>
                <w:sz w:val="14"/>
                <w:lang w:eastAsia="ja-JP"/>
              </w:rPr>
              <w:t>)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 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Alış Tarihi</w:t>
            </w:r>
            <w:r>
              <w:rPr>
                <w:rFonts w:ascii="Arial" w:hAnsi="Arial"/>
                <w:sz w:val="14"/>
                <w:lang w:eastAsia="ja-JP"/>
              </w:rPr>
              <w:br/>
            </w:r>
            <w:r>
              <w:rPr>
                <w:rFonts w:ascii="Arial" w:hAnsi="Arial"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Purchase Date</w:t>
            </w:r>
            <w:r>
              <w:rPr>
                <w:rFonts w:ascii="Arial" w:hAnsi="Arial"/>
                <w:i/>
                <w:sz w:val="14"/>
                <w:lang w:eastAsia="ja-JP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Tablo Tarihi</w:t>
            </w:r>
          </w:p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eastAsia="ja-JP"/>
              </w:rPr>
            </w:pPr>
            <w:r>
              <w:rPr>
                <w:rFonts w:ascii="Arial" w:hAnsi="Arial"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Table Date</w:t>
            </w:r>
            <w:r>
              <w:rPr>
                <w:rFonts w:ascii="Arial" w:hAnsi="Arial"/>
                <w:i/>
                <w:sz w:val="14"/>
                <w:lang w:eastAsia="ja-JP"/>
              </w:rPr>
              <w:t>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Üç Yılı Geçmiş mi?</w:t>
            </w:r>
          </w:p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val="en-US" w:eastAsia="ja-JP"/>
              </w:rPr>
            </w:pPr>
            <w:r>
              <w:rPr>
                <w:rFonts w:ascii="Arial" w:hAnsi="Arial"/>
                <w:i/>
                <w:sz w:val="14"/>
                <w:lang w:val="en-US" w:eastAsia="ja-JP"/>
              </w:rPr>
              <w:t>(Exceeding 3 years?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)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Portföy Değeri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ind w:firstLine="280"/>
              <w:rPr>
                <w:rFonts w:ascii="Arial" w:hAnsi="Arial"/>
                <w:i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Arsa 1 </w:t>
            </w:r>
            <w:r>
              <w:rPr>
                <w:rFonts w:ascii="Arial" w:hAnsi="Arial"/>
                <w:i/>
                <w:sz w:val="14"/>
                <w:lang w:eastAsia="ja-JP"/>
              </w:rPr>
              <w:t>(Land 1)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30.12.04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31.12.06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center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Hayır</w:t>
            </w:r>
          </w:p>
          <w:p w:rsidR="00000000" w:rsidRDefault="008F6B20">
            <w:pPr>
              <w:spacing w:before="20" w:after="20"/>
              <w:jc w:val="center"/>
              <w:rPr>
                <w:rFonts w:ascii="Arial" w:hAnsi="Arial"/>
                <w:i/>
                <w:sz w:val="14"/>
                <w:lang w:eastAsia="ja-JP"/>
              </w:rPr>
            </w:pPr>
            <w:r>
              <w:rPr>
                <w:rFonts w:ascii="Arial" w:hAnsi="Arial"/>
                <w:i/>
                <w:sz w:val="14"/>
                <w:lang w:eastAsia="ja-JP"/>
              </w:rPr>
              <w:t>(No)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color w:val="FFFFFF"/>
                <w:sz w:val="14"/>
                <w:lang w:eastAsia="ja-JP"/>
              </w:rPr>
            </w:pPr>
            <w:r>
              <w:rPr>
                <w:rFonts w:ascii="Arial" w:hAnsi="Arial"/>
                <w:color w:val="FFFFFF"/>
                <w:sz w:val="14"/>
                <w:lang w:eastAsia="ja-JP"/>
              </w:rPr>
              <w:t>30.12.04</w:t>
            </w:r>
          </w:p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color w:val="FFFFFF"/>
                <w:sz w:val="14"/>
                <w:lang w:eastAsia="ja-JP"/>
              </w:rPr>
              <w:t>Hayır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960.000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ind w:firstLine="28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Üç Yılı Geçenlerin Portföy Değeri Toplamı </w:t>
            </w:r>
          </w:p>
          <w:p w:rsidR="00000000" w:rsidRDefault="008F6B20">
            <w:pPr>
              <w:spacing w:before="20" w:after="20"/>
              <w:ind w:firstLine="280"/>
              <w:rPr>
                <w:rFonts w:ascii="Arial" w:hAnsi="Arial"/>
                <w:i/>
                <w:sz w:val="14"/>
                <w:lang w:eastAsia="ja-JP"/>
              </w:rPr>
            </w:pPr>
            <w:r>
              <w:rPr>
                <w:rFonts w:ascii="Arial" w:hAnsi="Arial"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Total Portfolio Value of the Land Exceeding 3 years)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0%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ind w:firstLine="28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TOPLAM PORTFÖY DEĞERİ </w:t>
            </w:r>
            <w:r>
              <w:rPr>
                <w:rFonts w:ascii="Arial" w:hAnsi="Arial"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TOTAL PORTFOLIO VALUE</w:t>
            </w:r>
            <w:r>
              <w:rPr>
                <w:rFonts w:ascii="Arial" w:hAnsi="Arial"/>
                <w:i/>
                <w:sz w:val="14"/>
                <w:lang w:eastAsia="ja-JP"/>
              </w:rPr>
              <w:t>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23.477.7</w:t>
            </w:r>
            <w:r>
              <w:rPr>
                <w:rFonts w:ascii="Arial" w:hAnsi="Arial"/>
                <w:sz w:val="14"/>
                <w:lang w:eastAsia="ja-JP"/>
              </w:rPr>
              <w:t>67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i/>
                <w:sz w:val="14"/>
                <w:lang w:eastAsia="ja-JP"/>
              </w:rPr>
            </w:pPr>
            <w:r>
              <w:rPr>
                <w:rFonts w:ascii="Arial" w:hAnsi="Arial"/>
                <w:b/>
                <w:sz w:val="14"/>
                <w:lang w:eastAsia="ja-JP"/>
              </w:rPr>
              <w:t xml:space="preserve">5. Kredi Sınırı Kontrolü </w:t>
            </w:r>
            <w:r>
              <w:rPr>
                <w:rFonts w:ascii="Arial" w:hAnsi="Arial"/>
                <w:b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b/>
                <w:i/>
                <w:sz w:val="14"/>
                <w:lang w:val="en-US" w:eastAsia="ja-JP"/>
              </w:rPr>
              <w:t>Credit Limit Control</w:t>
            </w:r>
            <w:r>
              <w:rPr>
                <w:rFonts w:ascii="Arial" w:hAnsi="Arial"/>
                <w:b/>
                <w:i/>
                <w:sz w:val="14"/>
                <w:lang w:eastAsia="ja-JP"/>
              </w:rPr>
              <w:t>)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ind w:firstLine="280"/>
              <w:rPr>
                <w:rFonts w:ascii="Arial" w:hAnsi="Arial"/>
                <w:i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A) Kredi 1 </w:t>
            </w:r>
            <w:r>
              <w:rPr>
                <w:rFonts w:ascii="Arial" w:hAnsi="Arial"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 xml:space="preserve">Credit </w:t>
            </w:r>
            <w:r>
              <w:rPr>
                <w:rFonts w:ascii="Arial" w:hAnsi="Arial"/>
                <w:i/>
                <w:sz w:val="14"/>
                <w:lang w:eastAsia="ja-JP"/>
              </w:rPr>
              <w:t>1)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Finans Bank A.Ş.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2.824.800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ind w:firstLine="28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B) Kredi 2 </w:t>
            </w:r>
            <w:r>
              <w:rPr>
                <w:rFonts w:ascii="Arial" w:hAnsi="Arial"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Credit 2</w:t>
            </w:r>
            <w:r>
              <w:rPr>
                <w:rFonts w:ascii="Arial" w:hAnsi="Arial"/>
                <w:i/>
                <w:sz w:val="14"/>
                <w:lang w:eastAsia="ja-JP"/>
              </w:rPr>
              <w:t>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ind w:firstLine="28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D) Krediler Toplamı </w:t>
            </w:r>
            <w:r>
              <w:rPr>
                <w:rFonts w:ascii="Arial" w:hAnsi="Arial"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i/>
                <w:sz w:val="14"/>
                <w:lang w:val="en-US" w:eastAsia="ja-JP"/>
              </w:rPr>
              <w:t>Total Credits</w:t>
            </w:r>
            <w:r>
              <w:rPr>
                <w:rFonts w:ascii="Arial" w:hAnsi="Arial"/>
                <w:i/>
                <w:sz w:val="14"/>
                <w:lang w:eastAsia="ja-JP"/>
              </w:rPr>
              <w:t>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2.824.800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10%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2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ind w:firstLine="280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 xml:space="preserve">NET AKTİF DEĞER </w:t>
            </w:r>
            <w:r>
              <w:rPr>
                <w:rFonts w:ascii="Arial" w:hAnsi="Arial"/>
                <w:i/>
                <w:sz w:val="14"/>
                <w:lang w:eastAsia="ja-JP"/>
              </w:rPr>
              <w:t>(</w:t>
            </w:r>
            <w:r>
              <w:rPr>
                <w:rFonts w:ascii="Arial" w:hAnsi="Arial"/>
                <w:i/>
                <w:sz w:val="14"/>
                <w:lang w:val="nl-NL" w:eastAsia="ja-JP"/>
              </w:rPr>
              <w:t>NET ASSET VALUE)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  <w:r>
              <w:rPr>
                <w:rFonts w:ascii="Arial" w:hAnsi="Arial"/>
                <w:sz w:val="14"/>
                <w:lang w:eastAsia="ja-JP"/>
              </w:rPr>
              <w:t>27.786.909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8F6B20">
            <w:pPr>
              <w:spacing w:before="20" w:after="20"/>
              <w:jc w:val="right"/>
              <w:rPr>
                <w:rFonts w:ascii="Arial" w:hAnsi="Arial"/>
                <w:sz w:val="14"/>
                <w:lang w:eastAsia="ja-JP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F6B20">
            <w:pPr>
              <w:spacing w:before="20" w:after="20"/>
              <w:rPr>
                <w:rFonts w:ascii="Arial" w:hAnsi="Arial"/>
                <w:sz w:val="14"/>
                <w:lang w:eastAsia="ja-JP"/>
              </w:rPr>
            </w:pPr>
          </w:p>
        </w:tc>
      </w:tr>
    </w:tbl>
    <w:p w:rsidR="00000000" w:rsidRDefault="008F6B20"/>
    <w:p w:rsidR="00000000" w:rsidRDefault="008F6B20"/>
    <w:tbl>
      <w:tblPr>
        <w:tblW w:w="0" w:type="auto"/>
        <w:tblInd w:w="-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40" w:after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Dipnotlar </w:t>
            </w:r>
            <w:r>
              <w:rPr>
                <w:rFonts w:ascii="Arial" w:hAnsi="Arial"/>
                <w:b/>
                <w:i/>
                <w:sz w:val="14"/>
              </w:rPr>
              <w:t>(</w:t>
            </w:r>
            <w:r>
              <w:rPr>
                <w:rFonts w:ascii="Arial" w:hAnsi="Arial"/>
                <w:b/>
                <w:i/>
                <w:sz w:val="14"/>
                <w:lang w:val="en-US"/>
              </w:rPr>
              <w:t>Footnotes</w:t>
            </w:r>
            <w:r>
              <w:rPr>
                <w:rFonts w:ascii="Arial" w:hAnsi="Arial"/>
                <w:b/>
                <w:i/>
                <w:sz w:val="14"/>
              </w:rPr>
              <w:t>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5"/>
        </w:trPr>
        <w:tc>
          <w:tcPr>
            <w:tcW w:w="15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40" w:after="40"/>
              <w:rPr>
                <w:rFonts w:ascii="Arial" w:hAnsi="Arial"/>
                <w:i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(1):  31.12.2006 tarihli Seri XI, No: 25 geçici (UFRS) bilanço ve gelir tablosu verileri kullanılarak hazırlanmıştır. Tutarlar KDV hariç olarak Yeni Türk Lirası cinsindendir.</w:t>
            </w:r>
            <w:r>
              <w:rPr>
                <w:rFonts w:ascii="Arial" w:hAnsi="Arial"/>
                <w:i/>
                <w:sz w:val="14"/>
                <w:lang w:val="en-US"/>
              </w:rPr>
              <w:t xml:space="preserve"> </w:t>
            </w:r>
          </w:p>
          <w:p w:rsidR="00000000" w:rsidRDefault="008F6B20">
            <w:pPr>
              <w:spacing w:before="40" w:after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 xml:space="preserve">       (The table is prepared using the interim IFRS (Se</w:t>
            </w:r>
            <w:r>
              <w:rPr>
                <w:rFonts w:ascii="Arial" w:hAnsi="Arial"/>
                <w:i/>
                <w:sz w:val="14"/>
                <w:lang w:val="en-US"/>
              </w:rPr>
              <w:t>rial: XI, No:25) financial tables as of 31.12.2006. Amounts are provided in New Turkish Liras excluding Value Added Tax.)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/>
        </w:trPr>
        <w:tc>
          <w:tcPr>
            <w:tcW w:w="15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40" w:after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(2):  Tabloda Tekirdağ'daki arsanın KDV hariç ekspertiz değeri kullanılmıştır. Elit Gayrimenkul Değerleme A.Ş. tarafından hazırlanan </w:t>
            </w:r>
            <w:r>
              <w:rPr>
                <w:rFonts w:ascii="Arial" w:hAnsi="Arial"/>
                <w:sz w:val="14"/>
              </w:rPr>
              <w:t>29.12.2006 tarihli rapora göre arsanın KDV dahil değeri 1.132.800 YTL'dir.</w:t>
            </w:r>
          </w:p>
          <w:p w:rsidR="00000000" w:rsidRDefault="008F6B20">
            <w:pPr>
              <w:spacing w:before="40" w:after="4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i/>
                <w:sz w:val="14"/>
                <w:lang w:val="en-US"/>
              </w:rPr>
              <w:t xml:space="preserve">       (In the table, appraisal value excluding VAT was used for the land in Tekirdag. According to the appraisal report prepared by Elit Gayrimenkul Degerleme A.S. as of 29.12.2006</w:t>
            </w:r>
            <w:r>
              <w:rPr>
                <w:rFonts w:ascii="Arial" w:hAnsi="Arial"/>
                <w:i/>
                <w:sz w:val="14"/>
                <w:lang w:val="en-US"/>
              </w:rPr>
              <w:t>, the value of the land including VAT is 1,132,800 New Turkish Liras.)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5"/>
        </w:trPr>
        <w:tc>
          <w:tcPr>
            <w:tcW w:w="15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40" w:after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(3):  Portföyümüzdeki Güzelşehir Proje'sinde 27 adet villa bulunmakta iken, iki adet villa tamamen, bir adet villa da yarım olarak satılmıştır.</w:t>
            </w:r>
          </w:p>
          <w:p w:rsidR="00000000" w:rsidRDefault="008F6B20">
            <w:pPr>
              <w:spacing w:before="40" w:after="40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</w:t>
            </w: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>Whereas our portfolio included 2</w:t>
            </w:r>
            <w:r>
              <w:rPr>
                <w:rFonts w:ascii="Arial" w:hAnsi="Arial"/>
                <w:i/>
                <w:sz w:val="14"/>
                <w:lang w:val="en-US"/>
              </w:rPr>
              <w:t>7 villas in the Guzelsehir Project, 2 villas and one villa’s 1/2 share were sold.</w:t>
            </w:r>
            <w:r>
              <w:rPr>
                <w:rFonts w:ascii="Arial" w:hAnsi="Arial"/>
                <w:i/>
                <w:sz w:val="14"/>
              </w:rPr>
              <w:t>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85"/>
        </w:trPr>
        <w:tc>
          <w:tcPr>
            <w:tcW w:w="15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40" w:after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(4):  19.01.2005 tarihli Elit Gayrimenkul Değerleme A.Ş. tarafından hazırlanan ekspertiz raporunda Güzelşehir Proje'sindeki 24 adet tam ve bir adet yarım villanın anahtar t</w:t>
            </w:r>
            <w:r>
              <w:rPr>
                <w:rFonts w:ascii="Arial" w:hAnsi="Arial"/>
                <w:sz w:val="14"/>
              </w:rPr>
              <w:t>eslimi şartlarda tamamlanmaları durumundaki arsa payı dahil toplam değeri 10.687.500 YTL olarak bildirilmiştir. KDV dahil tutar, 12.611.250 YTL'dir.</w:t>
            </w:r>
          </w:p>
          <w:p w:rsidR="00000000" w:rsidRDefault="008F6B20">
            <w:pPr>
              <w:spacing w:before="40" w:after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</w:t>
            </w: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 xml:space="preserve">In the appraisal report dated 19.01.2005 prepared by </w:t>
            </w:r>
            <w:r>
              <w:rPr>
                <w:rFonts w:ascii="Arial" w:hAnsi="Arial"/>
                <w:i/>
                <w:sz w:val="14"/>
              </w:rPr>
              <w:t>Elit Gayrimenkul Degerleme A.S.</w:t>
            </w:r>
            <w:r>
              <w:rPr>
                <w:rFonts w:ascii="Arial" w:hAnsi="Arial"/>
                <w:i/>
                <w:sz w:val="14"/>
                <w:lang w:val="en-US"/>
              </w:rPr>
              <w:t>, appraisal va</w:t>
            </w:r>
            <w:r>
              <w:rPr>
                <w:rFonts w:ascii="Arial" w:hAnsi="Arial"/>
                <w:i/>
                <w:sz w:val="14"/>
                <w:lang w:val="en-US"/>
              </w:rPr>
              <w:t>lue excluding VAT for 24 villas and one half share of a villa in Guzelsehir Project, assuming turn-key completion is stated to be 10,687,500 YTL.. The value including VAT is 12,611,250 New Turkish Liras</w:t>
            </w:r>
            <w:r>
              <w:rPr>
                <w:rFonts w:ascii="Arial" w:hAnsi="Arial"/>
                <w:i/>
                <w:sz w:val="14"/>
              </w:rPr>
              <w:t>.)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85"/>
        </w:trPr>
        <w:tc>
          <w:tcPr>
            <w:tcW w:w="15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40" w:after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(5):  29.12.2006 tarihli Elit Gayrimenkul Değerlem</w:t>
            </w:r>
            <w:r>
              <w:rPr>
                <w:rFonts w:ascii="Arial" w:hAnsi="Arial"/>
                <w:sz w:val="14"/>
              </w:rPr>
              <w:t>e A.Ş. tarafından hazırlanan ekspertiz raporunda Güzelşehir Proje'sindeki 27 villanın anahtar teslimi şartlarında tamamlanmaları durumundaki arsa payı dahil toplam değeri KDV dahil 11.625.000 YTL'dir</w:t>
            </w:r>
          </w:p>
          <w:p w:rsidR="00000000" w:rsidRDefault="008F6B20">
            <w:pPr>
              <w:spacing w:before="40" w:after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</w:t>
            </w: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>In the appraisal report dated 29.12.2006 prepar</w:t>
            </w:r>
            <w:r>
              <w:rPr>
                <w:rFonts w:ascii="Arial" w:hAnsi="Arial"/>
                <w:i/>
                <w:sz w:val="14"/>
                <w:lang w:val="en-US"/>
              </w:rPr>
              <w:t xml:space="preserve">ed by </w:t>
            </w:r>
            <w:r>
              <w:rPr>
                <w:rFonts w:ascii="Arial" w:hAnsi="Arial"/>
                <w:i/>
                <w:sz w:val="14"/>
              </w:rPr>
              <w:t>Elit Gayrimenkul Degerleme A.S.</w:t>
            </w:r>
            <w:r>
              <w:rPr>
                <w:rFonts w:ascii="Arial" w:hAnsi="Arial"/>
                <w:i/>
                <w:sz w:val="14"/>
                <w:lang w:val="en-US"/>
              </w:rPr>
              <w:t>, appraisal value including VAT for 27 villas in Guzelsehir Project, assuming turn-key completion is stated to be 11,625,000 YTL.</w:t>
            </w:r>
            <w:r>
              <w:rPr>
                <w:rFonts w:ascii="Arial" w:hAnsi="Arial"/>
                <w:i/>
                <w:sz w:val="14"/>
              </w:rPr>
              <w:t>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0"/>
        </w:trPr>
        <w:tc>
          <w:tcPr>
            <w:tcW w:w="15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40" w:after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(6):  Güzelşehir Proje'sindeki alışveriş merkezinin alımı için 23.12.2005 tarihinde Kon</w:t>
            </w:r>
            <w:r>
              <w:rPr>
                <w:rFonts w:ascii="Arial" w:hAnsi="Arial"/>
                <w:sz w:val="14"/>
              </w:rPr>
              <w:t>ak İnşaat Proje Taahhüt Ticaret Turizm Ltd. Şti ile KDV dahil 8.800.000 YTL bedelle satış vaadi sözleşmesi yapılmıştır. Noter ve tapu masrafları olarak ayrıca 62.796 YTL ödenmiştir.</w:t>
            </w:r>
          </w:p>
          <w:p w:rsidR="00000000" w:rsidRDefault="008F6B20">
            <w:pPr>
              <w:spacing w:before="40" w:after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</w:t>
            </w: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>A promise to sell agreement was signed with Konak Insaat Proje Taa</w:t>
            </w:r>
            <w:r>
              <w:rPr>
                <w:rFonts w:ascii="Arial" w:hAnsi="Arial"/>
                <w:i/>
                <w:sz w:val="14"/>
                <w:lang w:val="en-US"/>
              </w:rPr>
              <w:t>hhüt Ticaret Turizm Ltd. Sti on 23.12.2005 for purchasing the shopping center for 8,800,000 YTL including VAT. Additional  62,796 YTL expense was made for notary and deed costs.)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0"/>
        </w:trPr>
        <w:tc>
          <w:tcPr>
            <w:tcW w:w="15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8F6B20">
            <w:pPr>
              <w:spacing w:before="40" w:after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(7):  29.12.2006 tarihli Elit Gayrimenkul Değerleme A.Ş. tarafından hazırlan</w:t>
            </w:r>
            <w:r>
              <w:rPr>
                <w:rFonts w:ascii="Arial" w:hAnsi="Arial"/>
                <w:sz w:val="14"/>
              </w:rPr>
              <w:t>an ekspertiz raporunda Güzelşehir Proje'sindeki alışveriş merkezinin inşaatının tamamlanması durumundaki arsa payı dahil toplam değeri KDV dahil 10.384.000 YTL'dir.</w:t>
            </w:r>
          </w:p>
          <w:p w:rsidR="00000000" w:rsidRDefault="008F6B20">
            <w:pPr>
              <w:spacing w:before="40" w:after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       </w:t>
            </w:r>
            <w:r>
              <w:rPr>
                <w:rFonts w:ascii="Arial" w:hAnsi="Arial"/>
                <w:i/>
                <w:sz w:val="14"/>
              </w:rPr>
              <w:t>(</w:t>
            </w:r>
            <w:r>
              <w:rPr>
                <w:rFonts w:ascii="Arial" w:hAnsi="Arial"/>
                <w:i/>
                <w:sz w:val="14"/>
                <w:lang w:val="en-US"/>
              </w:rPr>
              <w:t xml:space="preserve">In the appraisal report dated 29.12.2006 prepared by </w:t>
            </w:r>
            <w:r>
              <w:rPr>
                <w:rFonts w:ascii="Arial" w:hAnsi="Arial"/>
                <w:i/>
                <w:sz w:val="14"/>
              </w:rPr>
              <w:t>Elit Gayrimenkul Degerleme A.</w:t>
            </w:r>
            <w:r>
              <w:rPr>
                <w:rFonts w:ascii="Arial" w:hAnsi="Arial"/>
                <w:i/>
                <w:sz w:val="14"/>
              </w:rPr>
              <w:t>S.</w:t>
            </w:r>
            <w:r>
              <w:rPr>
                <w:rFonts w:ascii="Arial" w:hAnsi="Arial"/>
                <w:i/>
                <w:sz w:val="14"/>
                <w:lang w:val="en-US"/>
              </w:rPr>
              <w:t>, appraisal value including VAT for the shopping center in Guzelsehir Project, assuming turn-key completion is stated to be 10,384,000 YTL.</w:t>
            </w:r>
            <w:r>
              <w:rPr>
                <w:rFonts w:ascii="Arial" w:hAnsi="Arial"/>
                <w:i/>
                <w:sz w:val="14"/>
              </w:rPr>
              <w:t>)</w:t>
            </w:r>
          </w:p>
        </w:tc>
      </w:tr>
    </w:tbl>
    <w:p w:rsidR="00000000" w:rsidRDefault="008F6B20">
      <w:pPr>
        <w:rPr>
          <w:rFonts w:ascii="Arial" w:hAnsi="Arial"/>
          <w:sz w:val="16"/>
        </w:rPr>
      </w:pPr>
    </w:p>
    <w:p w:rsidR="00000000" w:rsidRDefault="008F6B20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6B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F6B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6B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</w:t>
            </w:r>
            <w:r>
              <w:rPr>
                <w:rFonts w:ascii="Arial" w:hAnsi="Arial"/>
                <w:i/>
                <w:sz w:val="16"/>
              </w:rPr>
              <w:t>articipations in the equity capital are shown below.</w:t>
            </w:r>
          </w:p>
        </w:tc>
      </w:tr>
    </w:tbl>
    <w:p w:rsidR="00000000" w:rsidRDefault="008F6B2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6B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F6B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F6B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6B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F6B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F6B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F6B20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Yeşil İnşaat Gayrimenkul Yatırım </w:t>
            </w:r>
          </w:p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Hizmetleri Tic. A.Ş.</w:t>
            </w:r>
          </w:p>
        </w:tc>
        <w:tc>
          <w:tcPr>
            <w:tcW w:w="1892" w:type="dxa"/>
          </w:tcPr>
          <w:p w:rsidR="00000000" w:rsidRDefault="008F6B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t>5.089.500,00</w:t>
            </w:r>
          </w:p>
        </w:tc>
        <w:tc>
          <w:tcPr>
            <w:tcW w:w="2410" w:type="dxa"/>
          </w:tcPr>
          <w:p w:rsidR="00000000" w:rsidRDefault="008F6B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t>%15.347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Rudolf Younes</w:t>
            </w:r>
          </w:p>
        </w:tc>
        <w:tc>
          <w:tcPr>
            <w:tcW w:w="1892" w:type="dxa"/>
          </w:tcPr>
          <w:p w:rsidR="00000000" w:rsidRDefault="008F6B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t>5.089.500,00</w:t>
            </w:r>
          </w:p>
        </w:tc>
        <w:tc>
          <w:tcPr>
            <w:tcW w:w="2410" w:type="dxa"/>
          </w:tcPr>
          <w:p w:rsidR="00000000" w:rsidRDefault="008F6B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t>%15.3</w:t>
            </w:r>
            <w: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F6B2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F6B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 Kısım</w:t>
            </w:r>
          </w:p>
        </w:tc>
        <w:tc>
          <w:tcPr>
            <w:tcW w:w="1892" w:type="dxa"/>
          </w:tcPr>
          <w:p w:rsidR="00000000" w:rsidRDefault="008F6B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22.983.529,95</w:t>
            </w:r>
          </w:p>
        </w:tc>
        <w:tc>
          <w:tcPr>
            <w:tcW w:w="2410" w:type="dxa"/>
          </w:tcPr>
          <w:p w:rsidR="00000000" w:rsidRDefault="008F6B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69.306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6B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</w:t>
            </w:r>
          </w:p>
        </w:tc>
        <w:tc>
          <w:tcPr>
            <w:tcW w:w="1892" w:type="dxa"/>
          </w:tcPr>
          <w:p w:rsidR="00000000" w:rsidRDefault="008F6B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33.162.529,95</w:t>
            </w:r>
          </w:p>
        </w:tc>
        <w:tc>
          <w:tcPr>
            <w:tcW w:w="2410" w:type="dxa"/>
          </w:tcPr>
          <w:p w:rsidR="00000000" w:rsidRDefault="008F6B2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 100</w:t>
            </w:r>
          </w:p>
        </w:tc>
      </w:tr>
    </w:tbl>
    <w:p w:rsidR="00000000" w:rsidRDefault="008F6B20">
      <w:pPr>
        <w:jc w:val="both"/>
        <w:rPr>
          <w:rFonts w:ascii="Arial" w:hAnsi="Arial"/>
          <w:sz w:val="18"/>
        </w:rPr>
      </w:pPr>
    </w:p>
    <w:p w:rsidR="00000000" w:rsidRDefault="008F6B20">
      <w:pPr>
        <w:jc w:val="both"/>
        <w:rPr>
          <w:rFonts w:ascii="Arial" w:hAnsi="Arial"/>
          <w:sz w:val="18"/>
        </w:rPr>
      </w:pPr>
    </w:p>
    <w:p w:rsidR="00000000" w:rsidRDefault="008F6B20">
      <w:pPr>
        <w:rPr>
          <w:rFonts w:ascii="Arial" w:hAnsi="Arial"/>
          <w:sz w:val="16"/>
        </w:rPr>
      </w:pPr>
    </w:p>
    <w:sectPr w:rsidR="00000000">
      <w:pgSz w:w="16840" w:h="11907" w:orient="landscape" w:code="9"/>
      <w:pgMar w:top="1797" w:right="567" w:bottom="1797" w:left="56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6B20"/>
    <w:rsid w:val="008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17D6475-B74F-4ABD-BF86-65DBB117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1320211285</vt:i4>
  </property>
  <property fmtid="{D5CDD505-2E9C-101B-9397-08002B2CF9AE}" pid="3" name="_EmailSubject">
    <vt:lpwstr>Şirketler yıllığı portföy tablosu</vt:lpwstr>
  </property>
  <property fmtid="{D5CDD505-2E9C-101B-9397-08002B2CF9AE}" pid="4" name="_AuthorEmail">
    <vt:lpwstr>ahmet.alga@yygyo.com</vt:lpwstr>
  </property>
  <property fmtid="{D5CDD505-2E9C-101B-9397-08002B2CF9AE}" pid="5" name="_AuthorEmailDisplayName">
    <vt:lpwstr>Ahmet Alga</vt:lpwstr>
  </property>
  <property fmtid="{D5CDD505-2E9C-101B-9397-08002B2CF9AE}" pid="6" name="_ReviewingToolsShownOnce">
    <vt:lpwstr/>
  </property>
</Properties>
</file>