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66E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İŞ GAYRİMENKUL YATIRIM ORTAKLIĞI A.Ş.</w:t>
            </w:r>
          </w:p>
        </w:tc>
      </w:tr>
    </w:tbl>
    <w:p w:rsidR="00000000" w:rsidRDefault="00ED66E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3260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06.08.1999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GAYRİMENKULLERE, GAYRİMENKULE DAYALI SERMAYE PİYASASI ARAÇLARINA, GAYRİMENKUL PROJELERİNE, GAYRİMENKULE DAYALI HAKLARA VE SERMAYE PİYASASI ARA</w:t>
            </w:r>
            <w:r>
              <w:rPr>
                <w:rFonts w:ascii="Arial" w:hAnsi="Arial"/>
                <w:sz w:val="16"/>
              </w:rPr>
              <w:t>ÇLARINA YATIRIM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Main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Business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Line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OUR COMPANY IS A PORTFOLIO MANAGEMENT COMPANY THAT INVESTS IN REAL ESTATE PROPERTIES, IN CAPITAL MARKET INSTRUMENTS BACKED BY REAL ESTATE PROPERTIES, IN REAL ESTATE DEVELOPMENT PROJECTS, IN RIGHTS BACKED BY RE</w:t>
            </w:r>
            <w:r>
              <w:rPr>
                <w:rFonts w:ascii="Arial" w:hAnsi="Arial"/>
                <w:sz w:val="16"/>
              </w:rPr>
              <w:t xml:space="preserve">AL ESTATE PROPERTIES, AND IN OTHER CAPITAL MARKET INSTRUMENTS.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 KULE-2  KAT:9   34330 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Head</w:t>
            </w:r>
            <w:proofErr w:type="spellEnd"/>
            <w:r>
              <w:rPr>
                <w:rFonts w:ascii="Arial" w:hAnsi="Arial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TURGAY TANES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sz w:val="16"/>
              </w:rPr>
              <w:t>Manager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326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</w:t>
            </w:r>
          </w:p>
        </w:tc>
        <w:tc>
          <w:tcPr>
            <w:tcW w:w="326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DR.GÜRMAN TEVFİK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Board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Directors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VEKİLİ</w:t>
            </w:r>
          </w:p>
        </w:tc>
        <w:tc>
          <w:tcPr>
            <w:tcW w:w="326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EMRE CANKOREL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</w:t>
            </w:r>
          </w:p>
        </w:tc>
        <w:tc>
          <w:tcPr>
            <w:tcW w:w="326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NE</w:t>
            </w:r>
            <w:r>
              <w:rPr>
                <w:rFonts w:ascii="Arial" w:hAnsi="Arial"/>
                <w:sz w:val="16"/>
              </w:rPr>
              <w:t xml:space="preserve">JAT YALKUT AYÖZGER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</w:t>
            </w:r>
          </w:p>
        </w:tc>
        <w:tc>
          <w:tcPr>
            <w:tcW w:w="326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HALDUN BAYDAR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</w:t>
            </w:r>
          </w:p>
        </w:tc>
        <w:tc>
          <w:tcPr>
            <w:tcW w:w="326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KEMAL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(212) 325 23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Phone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325 23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Facsimile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Number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Employees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329.966.000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Issued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–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Trading</w:t>
            </w:r>
            <w:proofErr w:type="spellEnd"/>
            <w:r>
              <w:rPr>
                <w:rFonts w:ascii="Arial" w:hAnsi="Arial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ISTANBUL STOCK EXCHANGE NATIONAL MARKET</w:t>
            </w:r>
          </w:p>
        </w:tc>
      </w:tr>
    </w:tbl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5464"/>
        <w:gridCol w:w="46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64" w:type="dxa"/>
          </w:tcPr>
          <w:p w:rsidR="00000000" w:rsidRDefault="00ED66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</w:t>
            </w:r>
            <w:r>
              <w:rPr>
                <w:rFonts w:ascii="Arial" w:hAnsi="Arial"/>
                <w:sz w:val="16"/>
              </w:rPr>
              <w:t>ın 31.12.2006 tarihi itibariyle portföyü aşağıda verilmiştir.</w:t>
            </w:r>
          </w:p>
        </w:tc>
        <w:tc>
          <w:tcPr>
            <w:tcW w:w="4638" w:type="dxa"/>
          </w:tcPr>
          <w:p w:rsidR="00000000" w:rsidRDefault="00ED66E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portfolio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as of 31.12.2006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D66E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549"/>
        <w:gridCol w:w="704"/>
        <w:gridCol w:w="980"/>
        <w:gridCol w:w="693"/>
        <w:gridCol w:w="938"/>
        <w:gridCol w:w="731"/>
        <w:gridCol w:w="1077"/>
        <w:gridCol w:w="945"/>
        <w:gridCol w:w="638"/>
        <w:gridCol w:w="840"/>
        <w:gridCol w:w="731"/>
        <w:gridCol w:w="938"/>
        <w:gridCol w:w="908"/>
        <w:gridCol w:w="857"/>
        <w:gridCol w:w="1157"/>
        <w:gridCol w:w="6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229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GAYRİMENKUL YATIRIM ORTAKLIĞI A.Ş. PORTFÖY TABLOSU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Tablo Tarihi: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</w:t>
            </w:r>
            <w:r>
              <w:rPr>
                <w:rFonts w:ascii="Arial" w:hAnsi="Arial"/>
                <w:sz w:val="16"/>
              </w:rPr>
              <w:t>LER, GAYRİMENKUL PROJELERİ, GAYRİMENKULE DAYALI HAKLAR (</w:t>
            </w: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estate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projects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rights</w:t>
            </w:r>
            <w:proofErr w:type="spellEnd"/>
            <w:r>
              <w:rPr>
                <w:rFonts w:ascii="Arial" w:hAnsi="Arial"/>
                <w:sz w:val="16"/>
              </w:rPr>
              <w:t xml:space="preserve"> on </w:t>
            </w: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estates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Yeri ve Özellikleri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Location</w:t>
            </w:r>
            <w:proofErr w:type="spellEnd"/>
            <w:r>
              <w:rPr>
                <w:rFonts w:ascii="Arial" w:hAnsi="Arial"/>
                <w:sz w:val="16"/>
              </w:rPr>
              <w:t xml:space="preserve"> &amp; </w:t>
            </w:r>
            <w:proofErr w:type="spellStart"/>
            <w:r>
              <w:rPr>
                <w:rFonts w:ascii="Arial" w:hAnsi="Arial"/>
                <w:sz w:val="16"/>
              </w:rPr>
              <w:t>Definition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Alış Tarihi (Dipnot 7 ) </w:t>
            </w:r>
            <w:proofErr w:type="spellStart"/>
            <w:r>
              <w:rPr>
                <w:rFonts w:ascii="Arial" w:hAnsi="Arial"/>
                <w:sz w:val="16"/>
              </w:rPr>
              <w:t>Buying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Date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Buying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Cost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Tarihi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Date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Appraisal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Purchase</w:t>
            </w:r>
            <w:proofErr w:type="spellEnd"/>
            <w:r>
              <w:rPr>
                <w:rFonts w:ascii="Arial" w:hAnsi="Arial"/>
                <w:sz w:val="16"/>
              </w:rPr>
              <w:t xml:space="preserve"> )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Değeri (</w:t>
            </w:r>
            <w:proofErr w:type="spellStart"/>
            <w:r>
              <w:rPr>
                <w:rFonts w:ascii="Arial" w:hAnsi="Arial"/>
                <w:sz w:val="16"/>
              </w:rPr>
              <w:t>Appraisal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Purchase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Ekspertiz Tarihi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Date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Appraisal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Ekspertiz Değeri     (</w:t>
            </w:r>
            <w:proofErr w:type="spellStart"/>
            <w:r>
              <w:rPr>
                <w:rFonts w:ascii="Arial" w:hAnsi="Arial"/>
                <w:sz w:val="16"/>
              </w:rPr>
              <w:t>Appraisal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 xml:space="preserve">) 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(Dipnot 6)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 (</w:t>
            </w:r>
            <w:proofErr w:type="spellStart"/>
            <w:r>
              <w:rPr>
                <w:rFonts w:ascii="Arial" w:hAnsi="Arial"/>
                <w:sz w:val="16"/>
              </w:rPr>
              <w:t>Portfolio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  <w:proofErr w:type="spellStart"/>
            <w:r>
              <w:rPr>
                <w:rFonts w:ascii="Arial" w:hAnsi="Arial"/>
                <w:sz w:val="16"/>
              </w:rPr>
              <w:t>Port.</w:t>
            </w:r>
            <w:proofErr w:type="spellEnd"/>
            <w:r>
              <w:rPr>
                <w:rFonts w:ascii="Arial" w:hAnsi="Arial"/>
                <w:sz w:val="16"/>
              </w:rPr>
              <w:t xml:space="preserve"> Değ. Oranı (% in 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Portfolio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Sigorta Değeri</w:t>
            </w:r>
            <w:r>
              <w:rPr>
                <w:rFonts w:ascii="Arial" w:hAnsi="Arial"/>
                <w:sz w:val="16"/>
              </w:rPr>
              <w:t xml:space="preserve">  (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Insurance</w:t>
            </w:r>
            <w:proofErr w:type="spellEnd"/>
            <w:r>
              <w:rPr>
                <w:rFonts w:ascii="Arial" w:hAnsi="Arial"/>
                <w:sz w:val="16"/>
              </w:rPr>
              <w:t>) (Dipnot 5)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Ekspertiz Tarihi (</w:t>
            </w:r>
            <w:proofErr w:type="spellStart"/>
            <w:r>
              <w:rPr>
                <w:rFonts w:ascii="Arial" w:hAnsi="Arial"/>
                <w:sz w:val="16"/>
              </w:rPr>
              <w:t>Date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Rent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Appraisal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Kira Ekspertiz Değeri (Aylık) </w:t>
            </w:r>
            <w:proofErr w:type="spellStart"/>
            <w:r>
              <w:rPr>
                <w:rFonts w:ascii="Arial" w:hAnsi="Arial"/>
                <w:sz w:val="16"/>
              </w:rPr>
              <w:t>Monthly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Appraised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Rent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Kira Bedeli (Aylık) 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Monthly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Rent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Kiracı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Tenants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Başlangıç Dönemi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Beginning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Date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Lease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Contract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Süre</w:t>
            </w:r>
            <w:r>
              <w:rPr>
                <w:rFonts w:ascii="Arial" w:hAnsi="Arial"/>
                <w:sz w:val="16"/>
              </w:rPr>
              <w:t>si (</w:t>
            </w:r>
            <w:proofErr w:type="spellStart"/>
            <w:r>
              <w:rPr>
                <w:rFonts w:ascii="Arial" w:hAnsi="Arial"/>
                <w:sz w:val="16"/>
              </w:rPr>
              <w:t>Lease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Period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Arsalar ve Araziler (</w:t>
            </w:r>
            <w:proofErr w:type="spellStart"/>
            <w:r>
              <w:rPr>
                <w:rFonts w:ascii="Arial" w:hAnsi="Arial"/>
                <w:sz w:val="16"/>
              </w:rPr>
              <w:t>Land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19.915.000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1(Dipnot 11)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İstanbul, Beşiktaş </w:t>
            </w:r>
            <w:proofErr w:type="spellStart"/>
            <w:r>
              <w:rPr>
                <w:rFonts w:ascii="Arial" w:hAnsi="Arial"/>
                <w:sz w:val="16"/>
              </w:rPr>
              <w:t>I.Bölge</w:t>
            </w:r>
            <w:proofErr w:type="spellEnd"/>
            <w:r>
              <w:rPr>
                <w:rFonts w:ascii="Arial" w:hAnsi="Arial"/>
                <w:sz w:val="16"/>
              </w:rPr>
              <w:t>, Rumelihisarı 981 Ada, 629-631, 572 Parsel 7.613 m</w:t>
            </w:r>
            <w:r>
              <w:rPr>
                <w:rFonts w:ascii="Arial" w:hAnsi="Arial"/>
                <w:sz w:val="16"/>
                <w:vertAlign w:val="superscript"/>
              </w:rPr>
              <w:t xml:space="preserve">2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11.10.99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2.702.020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04.10.99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3.425.850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665.000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665.000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Üsküdar Arsası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Üsküdar, 3. Bölge, Burhaniye Mahallesi, Tunuslu Mahmut Paşa Sokağı, 212 Pafta, 725 ada, 18 Parsel 32.081 m</w:t>
            </w:r>
            <w:r>
              <w:rPr>
                <w:rFonts w:ascii="Arial" w:hAnsi="Arial"/>
                <w:sz w:val="16"/>
                <w:vertAlign w:val="superscript"/>
              </w:rPr>
              <w:t xml:space="preserve">2    </w:t>
            </w:r>
            <w:r>
              <w:rPr>
                <w:rFonts w:ascii="Arial" w:hAnsi="Arial"/>
                <w:sz w:val="16"/>
              </w:rPr>
              <w:t xml:space="preserve">  (Proje geliştirilebilir)                  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22.03.06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18.095.440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09.03.06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18.450.000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19.250.000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19.250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Binalar (</w:t>
            </w:r>
            <w:proofErr w:type="spellStart"/>
            <w:r>
              <w:rPr>
                <w:rFonts w:ascii="Arial" w:hAnsi="Arial"/>
                <w:sz w:val="16"/>
              </w:rPr>
              <w:t>Buildings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1.018.357.058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Ankara İş Kulesi 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Kavaklıdere -Ankara                                 Ofis Katları A,B ve C Blok 26.488 m</w:t>
            </w:r>
            <w:r>
              <w:rPr>
                <w:rFonts w:ascii="Arial" w:hAnsi="Arial"/>
                <w:sz w:val="16"/>
                <w:vertAlign w:val="superscript"/>
              </w:rPr>
              <w:t xml:space="preserve">2   </w:t>
            </w:r>
            <w:r>
              <w:rPr>
                <w:rFonts w:ascii="Arial" w:hAnsi="Arial"/>
                <w:sz w:val="16"/>
              </w:rPr>
              <w:t xml:space="preserve"> (Kiralanabilir)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21.682.500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24.09.99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28.960.000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96.120.00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96.120.000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19.128.542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20.06.06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442.400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 Blok $18.375 , A ve B Blok 400.429 YTL.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 Blok:</w:t>
            </w:r>
            <w:proofErr w:type="spellStart"/>
            <w:r>
              <w:rPr>
                <w:rFonts w:ascii="Arial" w:hAnsi="Arial"/>
                <w:sz w:val="16"/>
              </w:rPr>
              <w:t>T.İş</w:t>
            </w:r>
            <w:proofErr w:type="spellEnd"/>
            <w:r>
              <w:rPr>
                <w:rFonts w:ascii="Arial" w:hAnsi="Arial"/>
                <w:sz w:val="16"/>
              </w:rPr>
              <w:t xml:space="preserve"> Bankası, A&amp;B Blok: BDDK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 Blok 01.11.2003;    A ve B Blok : 01.11.2001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İş Kuleleri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(Kiralanabilir)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11.10.99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31.914.321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354.950.000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354.950.</w:t>
            </w:r>
            <w:r>
              <w:rPr>
                <w:rFonts w:ascii="Arial" w:hAnsi="Arial"/>
                <w:b/>
                <w:sz w:val="16"/>
              </w:rPr>
              <w:t>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211.659.395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Kule-2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Levent İstanbul                                  Ofis Katları 34 Kat 4 28.135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11.10.99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04.10.99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28.452.642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152.240.000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152.240.000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12.07.05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697.464   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$609.726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Kul</w:t>
            </w:r>
            <w:r>
              <w:rPr>
                <w:rFonts w:ascii="Arial" w:hAnsi="Arial"/>
                <w:sz w:val="16"/>
              </w:rPr>
              <w:t>e-3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Levent İstanbul                                   Ofis Katları 34 Kat 4 28.514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11.10.99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04.10.99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27.714.624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148.515.000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148.515.000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12.07.05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706.050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$557.319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T.Şişe</w:t>
            </w:r>
            <w:proofErr w:type="spellEnd"/>
            <w:r>
              <w:rPr>
                <w:rFonts w:ascii="Arial" w:hAnsi="Arial"/>
                <w:sz w:val="16"/>
              </w:rPr>
              <w:t xml:space="preserve"> ve Cam Sanayi A.Ş.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Kule Çarşı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Levent İsta</w:t>
            </w:r>
            <w:r>
              <w:rPr>
                <w:rFonts w:ascii="Arial" w:hAnsi="Arial"/>
                <w:sz w:val="16"/>
              </w:rPr>
              <w:t xml:space="preserve">nbul                                   48 adet </w:t>
            </w:r>
            <w:proofErr w:type="spellStart"/>
            <w:r>
              <w:rPr>
                <w:rFonts w:ascii="Arial" w:hAnsi="Arial"/>
                <w:sz w:val="16"/>
              </w:rPr>
              <w:t>Mağazaa</w:t>
            </w:r>
            <w:proofErr w:type="spellEnd"/>
            <w:r>
              <w:rPr>
                <w:rFonts w:ascii="Arial" w:hAnsi="Arial"/>
                <w:sz w:val="16"/>
              </w:rPr>
              <w:t xml:space="preserve">  6.675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11.10.99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04.10.99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6.423.372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37.265.000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37.265.000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09.06.05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139.955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157.059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Ticari Otopark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 Levent İstanbul                                  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11.10.99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04.10.99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4.388.256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16.930.000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16.930.000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Maslak Binası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Ayazağa</w:t>
            </w:r>
            <w:proofErr w:type="spellEnd"/>
            <w:r>
              <w:rPr>
                <w:rFonts w:ascii="Arial" w:hAnsi="Arial"/>
                <w:sz w:val="16"/>
              </w:rPr>
              <w:t xml:space="preserve"> İstanbul                                   Ofis Katları 17 Kat 12.904,21 m</w:t>
            </w:r>
            <w:r>
              <w:rPr>
                <w:rFonts w:ascii="Arial" w:hAnsi="Arial"/>
                <w:sz w:val="16"/>
                <w:vertAlign w:val="superscript"/>
              </w:rPr>
              <w:t xml:space="preserve">2    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lastRenderedPageBreak/>
              <w:t>(Kiralanabilir)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14.05.01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24.517.350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02.05.01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24.520.000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37.400.000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</w:t>
            </w:r>
            <w:r>
              <w:rPr>
                <w:rFonts w:ascii="Arial" w:hAnsi="Arial"/>
                <w:sz w:val="16"/>
              </w:rPr>
              <w:t>00.000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19.015.716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220.000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POAŞ $157.734  ve </w:t>
            </w:r>
            <w:proofErr w:type="spellStart"/>
            <w:r>
              <w:rPr>
                <w:rFonts w:ascii="Arial" w:hAnsi="Arial"/>
                <w:sz w:val="16"/>
              </w:rPr>
              <w:t>T.İş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lastRenderedPageBreak/>
              <w:t>Bankası 8.418 YTL.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POAŞ ve </w:t>
            </w:r>
            <w:proofErr w:type="spellStart"/>
            <w:r>
              <w:rPr>
                <w:rFonts w:ascii="Arial" w:hAnsi="Arial"/>
                <w:sz w:val="16"/>
              </w:rPr>
              <w:t>T.İş</w:t>
            </w:r>
            <w:proofErr w:type="spellEnd"/>
            <w:r>
              <w:rPr>
                <w:rFonts w:ascii="Arial" w:hAnsi="Arial"/>
                <w:sz w:val="16"/>
              </w:rPr>
              <w:t xml:space="preserve"> Bankası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01.08.2006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Kanyon  (Dipnot 10)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320.000.000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320.000.000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137.915.785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Kanyon Çarşı                  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Levent İstanbul</w:t>
            </w:r>
            <w:r>
              <w:rPr>
                <w:rFonts w:ascii="Arial" w:hAnsi="Arial"/>
                <w:sz w:val="16"/>
              </w:rPr>
              <w:t xml:space="preserve">              162 adet Mağaza 19.470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37.950.580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24.10.00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37.950.580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249.250.000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249.250.000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22.11.04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662.925   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$786.611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Kanyon Ofis                    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 Levent İstanbul             Ofis Katları </w:t>
            </w:r>
            <w:r>
              <w:rPr>
                <w:rFonts w:ascii="Arial" w:hAnsi="Arial"/>
                <w:sz w:val="16"/>
              </w:rPr>
              <w:t>13 Kat 14.588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13.915.215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24.10.00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13.915.215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70.750.000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70.750.000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22.11.04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371.427   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$271.349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Tatilya</w:t>
            </w:r>
            <w:proofErr w:type="spellEnd"/>
            <w:r>
              <w:rPr>
                <w:rFonts w:ascii="Arial" w:hAnsi="Arial"/>
                <w:sz w:val="16"/>
              </w:rPr>
              <w:t xml:space="preserve"> Eğlence Merkezi   (Dipnot 8)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İstanbul B. Çekmece II. Bölge </w:t>
            </w:r>
            <w:proofErr w:type="spellStart"/>
            <w:r>
              <w:rPr>
                <w:rFonts w:ascii="Arial" w:hAnsi="Arial"/>
                <w:sz w:val="16"/>
              </w:rPr>
              <w:t>Beylikdüzü</w:t>
            </w:r>
            <w:proofErr w:type="spellEnd"/>
            <w:r>
              <w:rPr>
                <w:rFonts w:ascii="Arial" w:hAnsi="Arial"/>
                <w:sz w:val="16"/>
              </w:rPr>
              <w:t xml:space="preserve"> mevkii 21 ada, 101,102,103,1</w:t>
            </w:r>
            <w:r>
              <w:rPr>
                <w:rFonts w:ascii="Arial" w:hAnsi="Arial"/>
                <w:sz w:val="16"/>
              </w:rPr>
              <w:t xml:space="preserve">05 ve 107 parseller  (Kiralanabilir) Eğlence Üniteleri, Otopark, TV Stüdyosu Binası, </w:t>
            </w: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Projesi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28.06.01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60.785.307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03.04.01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59.885.000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91.350.000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87.867.058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59.833.505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08.01.02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Tatilya</w:t>
            </w:r>
            <w:proofErr w:type="spellEnd"/>
            <w:r>
              <w:rPr>
                <w:rFonts w:ascii="Arial" w:hAnsi="Arial"/>
                <w:sz w:val="16"/>
              </w:rPr>
              <w:t xml:space="preserve"> Eğlence Merkezi çevresindeki 106 </w:t>
            </w:r>
            <w:proofErr w:type="spellStart"/>
            <w:r>
              <w:rPr>
                <w:rFonts w:ascii="Arial" w:hAnsi="Arial"/>
                <w:sz w:val="16"/>
              </w:rPr>
              <w:t>nolu</w:t>
            </w:r>
            <w:proofErr w:type="spellEnd"/>
            <w:r>
              <w:rPr>
                <w:rFonts w:ascii="Arial" w:hAnsi="Arial"/>
                <w:sz w:val="16"/>
              </w:rPr>
              <w:t xml:space="preserve"> parse</w:t>
            </w:r>
            <w:r>
              <w:rPr>
                <w:rFonts w:ascii="Arial" w:hAnsi="Arial"/>
                <w:sz w:val="16"/>
              </w:rPr>
              <w:t xml:space="preserve">l ve natamam bina (Dipnot 9)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İstanbul B. Çekmece </w:t>
            </w:r>
            <w:proofErr w:type="spellStart"/>
            <w:r>
              <w:rPr>
                <w:rFonts w:ascii="Arial" w:hAnsi="Arial"/>
                <w:sz w:val="16"/>
              </w:rPr>
              <w:t>II.Bölge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Beylikdüzü</w:t>
            </w:r>
            <w:proofErr w:type="spellEnd"/>
            <w:r>
              <w:rPr>
                <w:rFonts w:ascii="Arial" w:hAnsi="Arial"/>
                <w:sz w:val="16"/>
              </w:rPr>
              <w:t xml:space="preserve"> Mevkii 21 ada, 106 </w:t>
            </w:r>
            <w:proofErr w:type="spellStart"/>
            <w:r>
              <w:rPr>
                <w:rFonts w:ascii="Arial" w:hAnsi="Arial"/>
                <w:sz w:val="16"/>
              </w:rPr>
              <w:t>nolu</w:t>
            </w:r>
            <w:proofErr w:type="spellEnd"/>
            <w:r>
              <w:rPr>
                <w:rFonts w:ascii="Arial" w:hAnsi="Arial"/>
                <w:sz w:val="16"/>
              </w:rPr>
              <w:t xml:space="preserve"> parsel (11.082,50 m</w:t>
            </w:r>
            <w:r>
              <w:rPr>
                <w:rFonts w:ascii="Arial" w:hAnsi="Arial"/>
                <w:sz w:val="16"/>
                <w:vertAlign w:val="superscript"/>
              </w:rPr>
              <w:t xml:space="preserve">2 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02.05.06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5.466.552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07.03.06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5.350.000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5.350.000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5.350.000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Seven </w:t>
            </w:r>
            <w:proofErr w:type="spellStart"/>
            <w:r>
              <w:rPr>
                <w:rFonts w:ascii="Arial" w:hAnsi="Arial"/>
                <w:sz w:val="16"/>
              </w:rPr>
              <w:t>Seas</w:t>
            </w:r>
            <w:proofErr w:type="spellEnd"/>
            <w:r>
              <w:rPr>
                <w:rFonts w:ascii="Arial" w:hAnsi="Arial"/>
                <w:sz w:val="16"/>
              </w:rPr>
              <w:t xml:space="preserve"> Oteli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Antalya, Manavgat, Sorgun Köyü, </w:t>
            </w:r>
            <w:proofErr w:type="spellStart"/>
            <w:r>
              <w:rPr>
                <w:rFonts w:ascii="Arial" w:hAnsi="Arial"/>
                <w:sz w:val="16"/>
              </w:rPr>
              <w:t>Ayıgürü</w:t>
            </w:r>
            <w:proofErr w:type="spellEnd"/>
            <w:r>
              <w:rPr>
                <w:rFonts w:ascii="Arial" w:hAnsi="Arial"/>
                <w:sz w:val="16"/>
              </w:rPr>
              <w:t xml:space="preserve"> Me</w:t>
            </w:r>
            <w:r>
              <w:rPr>
                <w:rFonts w:ascii="Arial" w:hAnsi="Arial"/>
                <w:sz w:val="16"/>
              </w:rPr>
              <w:t>vkii                     52.699 m</w:t>
            </w:r>
            <w:r>
              <w:rPr>
                <w:rFonts w:ascii="Arial" w:hAnsi="Arial"/>
                <w:sz w:val="16"/>
                <w:vertAlign w:val="superscript"/>
              </w:rPr>
              <w:t xml:space="preserve">2 </w:t>
            </w:r>
            <w:r>
              <w:rPr>
                <w:rFonts w:ascii="Arial" w:hAnsi="Arial"/>
                <w:sz w:val="16"/>
              </w:rPr>
              <w:t>(Kiralanabilir)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28.06.01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38.214.780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21.03.01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37.650.000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55.680.000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55.680.000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36.811.298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255.646 </w:t>
            </w:r>
            <w:proofErr w:type="spellStart"/>
            <w:r>
              <w:rPr>
                <w:rFonts w:ascii="Arial" w:hAnsi="Arial"/>
                <w:sz w:val="16"/>
              </w:rPr>
              <w:t>Euro</w:t>
            </w:r>
            <w:proofErr w:type="spellEnd"/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Magic</w:t>
            </w:r>
            <w:proofErr w:type="spellEnd"/>
            <w:r>
              <w:rPr>
                <w:rFonts w:ascii="Arial" w:hAnsi="Arial"/>
                <w:sz w:val="16"/>
              </w:rPr>
              <w:t xml:space="preserve"> Life Der </w:t>
            </w:r>
            <w:proofErr w:type="spellStart"/>
            <w:r>
              <w:rPr>
                <w:rFonts w:ascii="Arial" w:hAnsi="Arial"/>
                <w:sz w:val="16"/>
              </w:rPr>
              <w:t>Club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23.10.2002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Solaris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Plaza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Muğla , Marmaris, </w:t>
            </w:r>
            <w:proofErr w:type="spellStart"/>
            <w:r>
              <w:rPr>
                <w:rFonts w:ascii="Arial" w:hAnsi="Arial"/>
                <w:sz w:val="16"/>
              </w:rPr>
              <w:t>Kemeraltı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Mah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Uzun</w:t>
            </w:r>
            <w:r>
              <w:rPr>
                <w:rFonts w:ascii="Arial" w:hAnsi="Arial"/>
                <w:sz w:val="16"/>
              </w:rPr>
              <w:t>yalı</w:t>
            </w:r>
            <w:proofErr w:type="spellEnd"/>
            <w:r>
              <w:rPr>
                <w:rFonts w:ascii="Arial" w:hAnsi="Arial"/>
                <w:sz w:val="16"/>
              </w:rPr>
              <w:t xml:space="preserve"> Mevkii                   1.116,33  m</w:t>
            </w:r>
            <w:r>
              <w:rPr>
                <w:rFonts w:ascii="Arial" w:hAnsi="Arial"/>
                <w:sz w:val="16"/>
                <w:vertAlign w:val="superscript"/>
              </w:rPr>
              <w:t xml:space="preserve">2  </w:t>
            </w:r>
            <w:r>
              <w:rPr>
                <w:rFonts w:ascii="Arial" w:hAnsi="Arial"/>
                <w:sz w:val="16"/>
              </w:rPr>
              <w:t>(Kiralanabilir)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28.06.01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6.491.120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19.03.01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6.394.000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11.180.000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11.180.000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2.779.965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24.10.03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27.620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36.635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- Merkez Banka Hizmet Binası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Ankara-Merkez </w:t>
            </w:r>
            <w:proofErr w:type="spellStart"/>
            <w:r>
              <w:rPr>
                <w:rFonts w:ascii="Arial" w:hAnsi="Arial"/>
                <w:sz w:val="16"/>
              </w:rPr>
              <w:t>Fevzipaşa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Mah</w:t>
            </w:r>
            <w:r>
              <w:rPr>
                <w:rFonts w:ascii="Arial" w:hAnsi="Arial"/>
                <w:sz w:val="16"/>
              </w:rPr>
              <w:t>.</w:t>
            </w:r>
            <w:proofErr w:type="spellEnd"/>
            <w:r>
              <w:rPr>
                <w:rFonts w:ascii="Arial" w:hAnsi="Arial"/>
                <w:sz w:val="16"/>
              </w:rPr>
              <w:t xml:space="preserve"> 796 ada, 5 parsel, betonarme </w:t>
            </w:r>
            <w:proofErr w:type="spellStart"/>
            <w:r>
              <w:rPr>
                <w:rFonts w:ascii="Arial" w:hAnsi="Arial"/>
                <w:sz w:val="16"/>
              </w:rPr>
              <w:t>kargir</w:t>
            </w:r>
            <w:proofErr w:type="spellEnd"/>
            <w:r>
              <w:rPr>
                <w:rFonts w:ascii="Arial" w:hAnsi="Arial"/>
                <w:sz w:val="16"/>
              </w:rPr>
              <w:t>, bina garaj ve arsa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19.000.000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20.09.04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19.000.000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21.060.000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21.060.000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11.782.540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20.09.04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158.300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169.490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- Kızılay, Banka Hizmet Binası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Ankara-</w:t>
            </w:r>
            <w:r>
              <w:rPr>
                <w:rFonts w:ascii="Arial" w:hAnsi="Arial"/>
                <w:sz w:val="16"/>
              </w:rPr>
              <w:t xml:space="preserve">Kızılay, Çankaya İlçesi, 3.Bölge Kızılay </w:t>
            </w:r>
            <w:proofErr w:type="spellStart"/>
            <w:r>
              <w:rPr>
                <w:rFonts w:ascii="Arial" w:hAnsi="Arial"/>
                <w:sz w:val="16"/>
              </w:rPr>
              <w:t>Mah.</w:t>
            </w:r>
            <w:proofErr w:type="spellEnd"/>
            <w:r>
              <w:rPr>
                <w:rFonts w:ascii="Arial" w:hAnsi="Arial"/>
                <w:sz w:val="16"/>
              </w:rPr>
              <w:t xml:space="preserve">  (5193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  <w:r>
              <w:rPr>
                <w:rFonts w:ascii="Arial" w:hAnsi="Arial"/>
                <w:sz w:val="16"/>
              </w:rPr>
              <w:t>) kiralanabilir 13 katlı bina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31.08.04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17.850.000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17.850.000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4.436.003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31.08.04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133.350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142.731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- Banka Hiz</w:t>
            </w:r>
            <w:r>
              <w:rPr>
                <w:rFonts w:ascii="Arial" w:hAnsi="Arial"/>
                <w:sz w:val="16"/>
              </w:rPr>
              <w:t>met Binası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Antalya-Merkez </w:t>
            </w:r>
            <w:proofErr w:type="spellStart"/>
            <w:r>
              <w:rPr>
                <w:rFonts w:ascii="Arial" w:hAnsi="Arial"/>
                <w:sz w:val="16"/>
              </w:rPr>
              <w:t>Balbey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Mah.</w:t>
            </w:r>
            <w:proofErr w:type="spellEnd"/>
            <w:r>
              <w:rPr>
                <w:rFonts w:ascii="Arial" w:hAnsi="Arial"/>
                <w:sz w:val="16"/>
              </w:rPr>
              <w:t xml:space="preserve"> 3.353 m</w:t>
            </w:r>
            <w:r>
              <w:rPr>
                <w:rFonts w:ascii="Arial" w:hAnsi="Arial"/>
                <w:sz w:val="16"/>
                <w:vertAlign w:val="superscript"/>
              </w:rPr>
              <w:t xml:space="preserve">2, </w:t>
            </w:r>
            <w:r>
              <w:rPr>
                <w:rFonts w:ascii="Arial" w:hAnsi="Arial"/>
                <w:sz w:val="16"/>
              </w:rPr>
              <w:t>7 katlı bina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31.08.04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13.12.06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10.900.000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10.900.000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2.454.057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31.08.04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66.700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71.392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proofErr w:type="spellStart"/>
            <w:r>
              <w:rPr>
                <w:rFonts w:ascii="Arial" w:hAnsi="Arial"/>
                <w:sz w:val="16"/>
              </w:rPr>
              <w:t>Gayrimenkuller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Other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lastRenderedPageBreak/>
              <w:t>Estates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Projeleri</w:t>
            </w:r>
          </w:p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Estate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Projects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41.391.982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İstanbul Kanyon Projesi (Dipnot 2)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Levent İstanbul Konut   179 adet bağımsız bölüm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11.385.176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24.10.00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11.385.176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</w:t>
            </w:r>
            <w:r>
              <w:rPr>
                <w:rFonts w:ascii="Arial" w:hAnsi="Arial"/>
                <w:sz w:val="16"/>
              </w:rPr>
              <w:t>788.300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41.391.982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Gayrimenkule</w:t>
            </w:r>
            <w:proofErr w:type="spellEnd"/>
            <w:r>
              <w:rPr>
                <w:rFonts w:ascii="Arial" w:hAnsi="Arial"/>
                <w:sz w:val="16"/>
              </w:rPr>
              <w:t xml:space="preserve"> Dayalı Haklar (</w:t>
            </w: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Estate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Backed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Rights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5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GAYRİMENKULLER TOPLAMI (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Estate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1.079.664.040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98%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İŞTİRAKLER (</w:t>
            </w:r>
            <w:proofErr w:type="spellStart"/>
            <w:r>
              <w:rPr>
                <w:rFonts w:ascii="Arial" w:hAnsi="Arial"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Faaliy</w:t>
            </w:r>
            <w:r>
              <w:rPr>
                <w:rFonts w:ascii="Arial" w:hAnsi="Arial"/>
                <w:sz w:val="16"/>
              </w:rPr>
              <w:t xml:space="preserve">et Konusu 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Line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Activity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 (</w:t>
            </w:r>
            <w:proofErr w:type="spellStart"/>
            <w:r>
              <w:rPr>
                <w:rFonts w:ascii="Arial" w:hAnsi="Arial"/>
                <w:sz w:val="16"/>
              </w:rPr>
              <w:t>Date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Buying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 (</w:t>
            </w:r>
            <w:proofErr w:type="spellStart"/>
            <w:r>
              <w:rPr>
                <w:rFonts w:ascii="Arial" w:hAnsi="Arial"/>
                <w:sz w:val="16"/>
              </w:rPr>
              <w:t>Buying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Cost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 (</w:t>
            </w:r>
            <w:proofErr w:type="spellStart"/>
            <w:r>
              <w:rPr>
                <w:rFonts w:ascii="Arial" w:hAnsi="Arial"/>
                <w:sz w:val="16"/>
              </w:rPr>
              <w:t>Portfolio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  <w:proofErr w:type="spellStart"/>
            <w:r>
              <w:rPr>
                <w:rFonts w:ascii="Arial" w:hAnsi="Arial"/>
                <w:sz w:val="16"/>
              </w:rPr>
              <w:t>Port.</w:t>
            </w:r>
            <w:proofErr w:type="spellEnd"/>
            <w:r>
              <w:rPr>
                <w:rFonts w:ascii="Arial" w:hAnsi="Arial"/>
                <w:sz w:val="16"/>
              </w:rPr>
              <w:t xml:space="preserve"> Değ. Oranı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Kanyon Yönetim İşletim ve Pazarlama </w:t>
            </w:r>
            <w:proofErr w:type="spellStart"/>
            <w:r>
              <w:rPr>
                <w:rFonts w:ascii="Arial" w:hAnsi="Arial"/>
                <w:sz w:val="16"/>
              </w:rPr>
              <w:t>Ltd.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Şti.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genel idare hizmetleri ve pazar</w:t>
            </w:r>
            <w:r>
              <w:rPr>
                <w:rFonts w:ascii="Arial" w:hAnsi="Arial"/>
                <w:sz w:val="16"/>
              </w:rPr>
              <w:t>lama faal.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06.10.04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İŞTİRAKLER TOPLAMI (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VE SERMAYE PİYASASI ARAÇLARI (</w:t>
            </w:r>
            <w:proofErr w:type="spellStart"/>
            <w:r>
              <w:rPr>
                <w:rFonts w:ascii="Arial" w:hAnsi="Arial"/>
                <w:sz w:val="16"/>
              </w:rPr>
              <w:t>Money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 xml:space="preserve"> Market </w:t>
            </w:r>
            <w:proofErr w:type="spellStart"/>
            <w:r>
              <w:rPr>
                <w:rFonts w:ascii="Arial" w:hAnsi="Arial"/>
                <w:sz w:val="16"/>
              </w:rPr>
              <w:t>Instruments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Birimi  (</w:t>
            </w:r>
            <w:proofErr w:type="spellStart"/>
            <w:r>
              <w:rPr>
                <w:rFonts w:ascii="Arial" w:hAnsi="Arial"/>
                <w:sz w:val="16"/>
              </w:rPr>
              <w:t>Currency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 (</w:t>
            </w:r>
            <w:proofErr w:type="spellStart"/>
            <w:r>
              <w:rPr>
                <w:rFonts w:ascii="Arial" w:hAnsi="Arial"/>
                <w:sz w:val="16"/>
              </w:rPr>
              <w:t>Date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Buying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 (</w:t>
            </w:r>
            <w:proofErr w:type="spellStart"/>
            <w:r>
              <w:rPr>
                <w:rFonts w:ascii="Arial" w:hAnsi="Arial"/>
                <w:sz w:val="16"/>
              </w:rPr>
              <w:t>Cost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Buying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Miktarı (</w:t>
            </w:r>
            <w:proofErr w:type="spellStart"/>
            <w:r>
              <w:rPr>
                <w:rFonts w:ascii="Arial" w:hAnsi="Arial"/>
                <w:sz w:val="16"/>
              </w:rPr>
              <w:t>Amount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Bileşik Faiz Oranı (</w:t>
            </w:r>
            <w:proofErr w:type="spellStart"/>
            <w:r>
              <w:rPr>
                <w:rFonts w:ascii="Arial" w:hAnsi="Arial"/>
                <w:sz w:val="16"/>
              </w:rPr>
              <w:t>Effective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Interest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 (</w:t>
            </w:r>
            <w:proofErr w:type="spellStart"/>
            <w:r>
              <w:rPr>
                <w:rFonts w:ascii="Arial" w:hAnsi="Arial"/>
                <w:sz w:val="16"/>
              </w:rPr>
              <w:t>Maturity</w:t>
            </w:r>
            <w:proofErr w:type="spellEnd"/>
            <w:r>
              <w:rPr>
                <w:rFonts w:ascii="Arial" w:hAnsi="Arial"/>
                <w:sz w:val="16"/>
              </w:rPr>
              <w:t xml:space="preserve">) 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Birim Değeri (YTL) 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Unit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 (YTL)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Portfolio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  <w:proofErr w:type="spellStart"/>
            <w:r>
              <w:rPr>
                <w:rFonts w:ascii="Arial" w:hAnsi="Arial"/>
                <w:sz w:val="16"/>
              </w:rPr>
              <w:t>Port.</w:t>
            </w:r>
            <w:proofErr w:type="spellEnd"/>
            <w:r>
              <w:rPr>
                <w:rFonts w:ascii="Arial" w:hAnsi="Arial"/>
                <w:sz w:val="16"/>
              </w:rPr>
              <w:t xml:space="preserve"> Değ. Oranı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Tahvil ve Bonolar (</w:t>
            </w:r>
            <w:proofErr w:type="spellStart"/>
            <w:r>
              <w:rPr>
                <w:rFonts w:ascii="Arial" w:hAnsi="Arial"/>
                <w:sz w:val="16"/>
              </w:rPr>
              <w:t>Treasury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Bills</w:t>
            </w:r>
            <w:proofErr w:type="spellEnd"/>
            <w:r>
              <w:rPr>
                <w:rFonts w:ascii="Arial" w:hAnsi="Arial"/>
                <w:sz w:val="16"/>
              </w:rPr>
              <w:t>&amp;</w:t>
            </w:r>
            <w:proofErr w:type="spellStart"/>
            <w:r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onds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Fonları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307.225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Bankası, 801 B Tipi Likit Fon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305.969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3.752 Adet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81,882869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307.225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/ Vadesiz Döviz Tevdiat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23.598.922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Vadeli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EURO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18.12.06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1.448.504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18.01.07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2.681.905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Vadeli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EURO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501.048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3,04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15.01.07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927.690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Vadeli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EURO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24.11.06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2.526.309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04.01.07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4.677.460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Vadeli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EURO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27.11.06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501.274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04.01.07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  <w:r>
              <w:rPr>
                <w:rFonts w:ascii="Arial" w:hAnsi="Arial"/>
                <w:sz w:val="16"/>
              </w:rPr>
              <w:t>8.109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Vadeli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EURO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4.240.000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04.01.07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7.850.360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Vadeli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EURO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1.002.466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04.01.07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1.856.065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Vadesiz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EURO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5.633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10.430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Vadeli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18.12.06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2.422.334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4,33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18.01.07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3.404.833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Vadeli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886.567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29.01.07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1.246.159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Vadesiz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11.319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15.911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YTL Mevduat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Ters Repo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5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VE SERMAYE PİYASASI ARAÇLARI TOPLAMI (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Money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 xml:space="preserve"> Market </w:t>
            </w:r>
            <w:proofErr w:type="spellStart"/>
            <w:r>
              <w:rPr>
                <w:rFonts w:ascii="Arial" w:hAnsi="Arial"/>
                <w:sz w:val="16"/>
              </w:rPr>
              <w:t>Instruments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23.906.147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Portfolio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1.103.620.187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</w:t>
            </w:r>
            <w:proofErr w:type="spellStart"/>
            <w:r>
              <w:rPr>
                <w:rFonts w:ascii="Arial" w:hAnsi="Arial"/>
                <w:sz w:val="16"/>
              </w:rPr>
              <w:t>Liquid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Assets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1.836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</w:t>
            </w:r>
            <w:proofErr w:type="spellStart"/>
            <w:r>
              <w:rPr>
                <w:rFonts w:ascii="Arial" w:hAnsi="Arial"/>
                <w:sz w:val="16"/>
              </w:rPr>
              <w:t>Receivables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2.004.808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</w:t>
            </w:r>
            <w:proofErr w:type="spellStart"/>
            <w:r>
              <w:rPr>
                <w:rFonts w:ascii="Arial" w:hAnsi="Arial"/>
                <w:sz w:val="16"/>
              </w:rPr>
              <w:t>Other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Assets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6.311.755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</w:t>
            </w:r>
            <w:proofErr w:type="spellStart"/>
            <w:r>
              <w:rPr>
                <w:rFonts w:ascii="Arial" w:hAnsi="Arial"/>
                <w:sz w:val="16"/>
              </w:rPr>
              <w:t>Liabilities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54.772.946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(Net </w:t>
            </w:r>
            <w:proofErr w:type="spellStart"/>
            <w:r>
              <w:rPr>
                <w:rFonts w:ascii="Arial" w:hAnsi="Arial"/>
                <w:sz w:val="16"/>
              </w:rPr>
              <w:t>Asset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1.057.165.639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PAY SAYISI (Adet) (# of </w:t>
            </w:r>
            <w:proofErr w:type="spellStart"/>
            <w:r>
              <w:rPr>
                <w:rFonts w:ascii="Arial" w:hAnsi="Arial"/>
                <w:sz w:val="16"/>
              </w:rPr>
              <w:t>Shares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329.966.000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</w:t>
            </w:r>
            <w:r>
              <w:rPr>
                <w:rFonts w:ascii="Arial" w:hAnsi="Arial"/>
                <w:sz w:val="16"/>
              </w:rPr>
              <w:t xml:space="preserve">AYBAŞI NET AKTİF DEĞERİ (YTL) (Net </w:t>
            </w:r>
            <w:proofErr w:type="spellStart"/>
            <w:r>
              <w:rPr>
                <w:rFonts w:ascii="Arial" w:hAnsi="Arial"/>
                <w:sz w:val="16"/>
              </w:rPr>
              <w:t>Asset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Value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5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ORTAKLIK HİSSE SENEDİNİN İMKB SON SEANS AĞIRLIKLI ORTALAMA FİYATI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BİLGİLER </w:t>
            </w:r>
          </w:p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Other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Information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3077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Portf</w:t>
            </w:r>
            <w:r>
              <w:rPr>
                <w:rFonts w:ascii="Arial" w:hAnsi="Arial"/>
                <w:sz w:val="16"/>
              </w:rPr>
              <w:t>öydeki Projelere İlişkin Olarak Yıllar İtibariyle Planlanan Ödeme Tutarları : (</w:t>
            </w:r>
            <w:proofErr w:type="spellStart"/>
            <w:r>
              <w:rPr>
                <w:rFonts w:ascii="Arial" w:hAnsi="Arial"/>
                <w:sz w:val="16"/>
              </w:rPr>
              <w:t>Planned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Payments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2007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2008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2009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2010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…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3077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Kanyon Projesi  (Dipnot 3)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30.342.704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21.483.081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</w:t>
            </w:r>
            <w:r>
              <w:rPr>
                <w:rFonts w:ascii="Arial" w:hAnsi="Arial"/>
                <w:sz w:val="16"/>
              </w:rPr>
              <w:t>nan Kredilere İlişkin Açıklamalar : (</w:t>
            </w:r>
            <w:proofErr w:type="spellStart"/>
            <w:r>
              <w:rPr>
                <w:rFonts w:ascii="Arial" w:hAnsi="Arial"/>
                <w:sz w:val="16"/>
              </w:rPr>
              <w:t>Credits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Used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Alınan Kuruluş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Birimi</w:t>
            </w: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Tutarı (İlgili Para Birimi Cinsinden)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(Kredi Tutarı YTL)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Vadesi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Faiz Oranı</w:t>
            </w:r>
          </w:p>
        </w:tc>
        <w:tc>
          <w:tcPr>
            <w:tcW w:w="7648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Açıklamalar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 Bankası A.Ş.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374.620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374.620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Süresiz temin</w:t>
            </w:r>
            <w:r>
              <w:rPr>
                <w:rFonts w:ascii="Arial" w:hAnsi="Arial"/>
                <w:sz w:val="16"/>
              </w:rPr>
              <w:t>at mektubu (5 adet)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4057" w:type="dxa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Rehin, İpotek ve Teminatlara İlişkin Açıklamalar : (</w:t>
            </w:r>
            <w:proofErr w:type="spellStart"/>
            <w:r>
              <w:rPr>
                <w:rFonts w:ascii="Arial" w:hAnsi="Arial"/>
                <w:sz w:val="16"/>
              </w:rPr>
              <w:t>Explanations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Pledges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Mortgages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Guarantees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848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848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Bir Önceki Tabloya Göre Değişiklikler : (</w:t>
            </w:r>
            <w:proofErr w:type="spellStart"/>
            <w:r>
              <w:rPr>
                <w:rFonts w:ascii="Arial" w:hAnsi="Arial"/>
                <w:sz w:val="16"/>
              </w:rPr>
              <w:t>Changes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compared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previous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portfolio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table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848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848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Ortaklığa Ver</w:t>
            </w:r>
            <w:r>
              <w:rPr>
                <w:rFonts w:ascii="Arial" w:hAnsi="Arial"/>
                <w:sz w:val="16"/>
              </w:rPr>
              <w:t>ilmiş Olan Ek Süreler ve Diğer Yasal Yükümlülüklere İlişkin Bilgiler : (</w:t>
            </w:r>
            <w:proofErr w:type="spellStart"/>
            <w:r>
              <w:rPr>
                <w:rFonts w:ascii="Arial" w:hAnsi="Arial"/>
                <w:sz w:val="16"/>
              </w:rPr>
              <w:t>Additional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period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given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other</w:t>
            </w:r>
            <w:proofErr w:type="spellEnd"/>
            <w:r>
              <w:rPr>
                <w:rFonts w:ascii="Arial" w:hAnsi="Arial"/>
                <w:sz w:val="16"/>
              </w:rPr>
              <w:t xml:space="preserve"> legal </w:t>
            </w:r>
            <w:proofErr w:type="spellStart"/>
            <w:r>
              <w:rPr>
                <w:rFonts w:ascii="Arial" w:hAnsi="Arial"/>
                <w:sz w:val="16"/>
              </w:rPr>
              <w:t>liabilities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848" w:type="dxa"/>
            <w:gridSpan w:val="1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PORTFÖY SINIRLAMALARI KONTROLLERİ (</w:t>
            </w:r>
            <w:proofErr w:type="spellStart"/>
            <w:r>
              <w:rPr>
                <w:rFonts w:ascii="Arial" w:hAnsi="Arial"/>
                <w:sz w:val="16"/>
              </w:rPr>
              <w:t>Controls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Portfolio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Limitations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1. %50 Kontrolü (</w:t>
            </w:r>
            <w:proofErr w:type="spellStart"/>
            <w:r>
              <w:rPr>
                <w:rFonts w:ascii="Arial" w:hAnsi="Arial"/>
                <w:sz w:val="16"/>
              </w:rPr>
              <w:t>Con</w:t>
            </w:r>
            <w:r>
              <w:rPr>
                <w:rFonts w:ascii="Arial" w:hAnsi="Arial"/>
                <w:sz w:val="16"/>
              </w:rPr>
              <w:t>trol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%50)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GAYRİMENKULLER, GAYRİMENKUL PROJELERİ VE GAYRİMENKULE DAYALI HAKLAR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1.079.664.040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PARA VE SERMAYE PİYASASI ARAÇLARININ ÜÇ YILLIK GAYRİMENKUL ÖDEMELERİ İÇİN TUTULAN KISMI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23.906.147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GAYRİMENKULLER VE PAR</w:t>
            </w:r>
            <w:r>
              <w:rPr>
                <w:rFonts w:ascii="Arial" w:hAnsi="Arial"/>
                <w:sz w:val="16"/>
              </w:rPr>
              <w:t>A VE SERMAYE PİYASASI ARAÇLARININ ÜÇ YILLIK GAYRİMENKUL ÖDEMELERİ İÇİN TUTULAN KISMI (A+B)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1.103.570.187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İŞTİRAKLER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YATIRIM AMAÇLI TUTULAN PARA VE SERMAYE PİYASASI ARAÇLARI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 İŞTİRAKLER VE YATIRIM AMAÇLI TU</w:t>
            </w:r>
            <w:r>
              <w:rPr>
                <w:rFonts w:ascii="Arial" w:hAnsi="Arial"/>
                <w:sz w:val="16"/>
              </w:rPr>
              <w:t>TULAN PARA VE SERMAYE PİYASASI ARAÇLARI (D+E)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1.103.620.187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2. Mevduat Kontrolü (</w:t>
            </w:r>
            <w:proofErr w:type="spellStart"/>
            <w:r>
              <w:rPr>
                <w:rFonts w:ascii="Arial" w:hAnsi="Arial"/>
                <w:sz w:val="16"/>
              </w:rPr>
              <w:t>Control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Bank </w:t>
            </w:r>
            <w:proofErr w:type="spellStart"/>
            <w:r>
              <w:rPr>
                <w:rFonts w:ascii="Arial" w:hAnsi="Arial"/>
                <w:sz w:val="16"/>
              </w:rPr>
              <w:t>Deposits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Vadeli / Vadesiz Döviz Tevdiat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23.598.922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Vadeli YTL Mevduat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Toplam Yatırım Amaçlı Mevduat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23.598.922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1.103.620.187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3. İştirak Sınırı Kontrolü (</w:t>
            </w:r>
            <w:proofErr w:type="spellStart"/>
            <w:r>
              <w:rPr>
                <w:rFonts w:ascii="Arial" w:hAnsi="Arial"/>
                <w:sz w:val="16"/>
              </w:rPr>
              <w:t>Control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Limitation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A) Kanyon Yönetim İşletim ve Pazarlama </w:t>
            </w:r>
            <w:proofErr w:type="spellStart"/>
            <w:r>
              <w:rPr>
                <w:rFonts w:ascii="Arial" w:hAnsi="Arial"/>
                <w:sz w:val="16"/>
              </w:rPr>
              <w:t>Ltd.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Şti.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İ</w:t>
            </w:r>
            <w:r>
              <w:rPr>
                <w:rFonts w:ascii="Arial" w:hAnsi="Arial"/>
                <w:sz w:val="16"/>
              </w:rPr>
              <w:t>ştirakler Toplamı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1.103.620.187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Atıl tutulan Arsa / Arazi Sınırı Kontrolü (</w:t>
            </w:r>
            <w:proofErr w:type="spellStart"/>
            <w:r>
              <w:rPr>
                <w:rFonts w:ascii="Arial" w:hAnsi="Arial"/>
                <w:sz w:val="16"/>
              </w:rPr>
              <w:t>Control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Speculative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Idle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Land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Tablo Tarihi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Geçmiş mi?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</w:t>
            </w:r>
            <w:r>
              <w:rPr>
                <w:rFonts w:ascii="Arial" w:hAnsi="Arial"/>
                <w:sz w:val="16"/>
              </w:rPr>
              <w:t>sa 1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11.10.99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Evet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665.000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Üsküdar Arsası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22.03.06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Hayır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19.250.000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2%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Geçenlerin Portföy Değeri Toplamı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665.000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1.103.620.187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5. Kredi Sınırı </w:t>
            </w:r>
            <w:r>
              <w:rPr>
                <w:rFonts w:ascii="Arial" w:hAnsi="Arial"/>
                <w:b/>
                <w:sz w:val="16"/>
              </w:rPr>
              <w:t>Kontrolü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Kredi 1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 Bankası A.Ş.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374.620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Kredi 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Krediler Toplamı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374.620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0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1.057.165.639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Dipnotlar: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(1) Tablodaki v</w:t>
            </w:r>
            <w:r>
              <w:rPr>
                <w:rFonts w:ascii="Arial" w:hAnsi="Arial"/>
                <w:sz w:val="16"/>
              </w:rPr>
              <w:t xml:space="preserve">eriler yanında para cinsi belirtilmediği sürece YTL olarak </w:t>
            </w:r>
            <w:proofErr w:type="spellStart"/>
            <w:r>
              <w:rPr>
                <w:rFonts w:ascii="Arial" w:hAnsi="Arial"/>
                <w:sz w:val="16"/>
              </w:rPr>
              <w:t>girilmişitir.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405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(2) Kanyon Konut Projesinde henüz tapu işlemleri sonuçlanmadığından son ekspertiz değeri ve 31.12.2006 tarihine kadar yapılan  harcamalar ( KDV hariç ) yer almaktadır. KDV d</w:t>
            </w:r>
            <w:r>
              <w:rPr>
                <w:rFonts w:ascii="Arial" w:hAnsi="Arial"/>
                <w:sz w:val="16"/>
              </w:rPr>
              <w:t xml:space="preserve">ahil harcama toplamı 48.041.138 </w:t>
            </w:r>
            <w:proofErr w:type="spellStart"/>
            <w:r>
              <w:rPr>
                <w:rFonts w:ascii="Arial" w:hAnsi="Arial"/>
                <w:sz w:val="16"/>
              </w:rPr>
              <w:t>YTL'dir.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405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(3) İstanbul Kanyon Projesi kapsamında öngörülen harcama tutarları KDV hariç olup, USD cinsinden verilen tutarların </w:t>
            </w:r>
            <w:proofErr w:type="spellStart"/>
            <w:r>
              <w:rPr>
                <w:rFonts w:ascii="Arial" w:hAnsi="Arial"/>
                <w:sz w:val="16"/>
              </w:rPr>
              <w:t>YTL'ye</w:t>
            </w:r>
            <w:proofErr w:type="spellEnd"/>
            <w:r>
              <w:rPr>
                <w:rFonts w:ascii="Arial" w:hAnsi="Arial"/>
                <w:sz w:val="16"/>
              </w:rPr>
              <w:t xml:space="preserve"> çevrilmesi sırasında 31.12.2006 tarihli TCMB  döviz satış kuru kullanılmıştır.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84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(4) Por</w:t>
            </w:r>
            <w:r>
              <w:rPr>
                <w:rFonts w:ascii="Arial" w:hAnsi="Arial"/>
                <w:sz w:val="16"/>
              </w:rPr>
              <w:t xml:space="preserve">tföydeki varlıklar, USD üzerinden sigortalanmış olup, tablodaki sigorta değerleri USD cinsinden teminat bedellerinin 31.12.2006 TCMB ABD Doları döviz alış kuru kullanılarak </w:t>
            </w:r>
            <w:proofErr w:type="spellStart"/>
            <w:r>
              <w:rPr>
                <w:rFonts w:ascii="Arial" w:hAnsi="Arial"/>
                <w:sz w:val="16"/>
              </w:rPr>
              <w:t>YTL'ye</w:t>
            </w:r>
            <w:proofErr w:type="spellEnd"/>
            <w:r>
              <w:rPr>
                <w:rFonts w:ascii="Arial" w:hAnsi="Arial"/>
                <w:sz w:val="16"/>
              </w:rPr>
              <w:t xml:space="preserve"> çevrilmesiyle hesaplanmıştır.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062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(5) Tablodaki </w:t>
            </w:r>
            <w:proofErr w:type="spellStart"/>
            <w:r>
              <w:rPr>
                <w:rFonts w:ascii="Arial" w:hAnsi="Arial"/>
                <w:sz w:val="16"/>
              </w:rPr>
              <w:t>gayrimenkullerin</w:t>
            </w:r>
            <w:proofErr w:type="spellEnd"/>
            <w:r>
              <w:rPr>
                <w:rFonts w:ascii="Arial" w:hAnsi="Arial"/>
                <w:sz w:val="16"/>
              </w:rPr>
              <w:t xml:space="preserve"> ekspertiz değe</w:t>
            </w:r>
            <w:r>
              <w:rPr>
                <w:rFonts w:ascii="Arial" w:hAnsi="Arial"/>
                <w:sz w:val="16"/>
              </w:rPr>
              <w:t>rleri KDV hariç olup, KDV dahil değerleri aşağıdaki gibidir.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YTL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YTL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I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784.700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Tatilya</w:t>
            </w:r>
            <w:proofErr w:type="spellEnd"/>
            <w:r>
              <w:rPr>
                <w:rFonts w:ascii="Arial" w:hAnsi="Arial"/>
                <w:sz w:val="16"/>
              </w:rPr>
              <w:t xml:space="preserve"> Eğlence Merkezi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107.793.000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İş Kulesi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113.421.600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Seven </w:t>
            </w:r>
            <w:proofErr w:type="spellStart"/>
            <w:r>
              <w:rPr>
                <w:rFonts w:ascii="Arial" w:hAnsi="Arial"/>
                <w:sz w:val="16"/>
              </w:rPr>
              <w:t>Seas</w:t>
            </w:r>
            <w:proofErr w:type="spellEnd"/>
            <w:r>
              <w:rPr>
                <w:rFonts w:ascii="Arial" w:hAnsi="Arial"/>
                <w:sz w:val="16"/>
              </w:rPr>
              <w:t xml:space="preserve"> Oteli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65.702.400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 Kule-2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179.643.200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Solaris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Plaza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13.192.400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 Kule-3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175.247.700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İstanbul Kanyon 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377.600.000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Kule Çarşı 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43.972.700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Ankara- Ulus  Banka Hizmet Binası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24.850.800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 Ticari Otopark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19.977.400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Ankara- Kızılay, Banka </w:t>
            </w:r>
            <w:r>
              <w:rPr>
                <w:rFonts w:ascii="Arial" w:hAnsi="Arial"/>
                <w:sz w:val="16"/>
              </w:rPr>
              <w:t>Hizmet Binası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21.063.000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Maslak Binası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44.132.000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Antalya- Banka Hizmet Binası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12.862.000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Üsküdar Arsası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22.715.000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23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106 </w:t>
            </w:r>
            <w:proofErr w:type="spellStart"/>
            <w:r>
              <w:rPr>
                <w:rFonts w:ascii="Arial" w:hAnsi="Arial"/>
                <w:sz w:val="16"/>
              </w:rPr>
              <w:t>Nolu</w:t>
            </w:r>
            <w:proofErr w:type="spellEnd"/>
            <w:r>
              <w:rPr>
                <w:rFonts w:ascii="Arial" w:hAnsi="Arial"/>
                <w:sz w:val="16"/>
              </w:rPr>
              <w:t xml:space="preserve"> Parsel ve Natamam Bina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6.313.000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Kanyon Konut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44.590.194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20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(6)  İstanbul İş Kulele</w:t>
            </w:r>
            <w:r>
              <w:rPr>
                <w:rFonts w:ascii="Arial" w:hAnsi="Arial"/>
                <w:sz w:val="16"/>
              </w:rPr>
              <w:t xml:space="preserve">ri ve Arsa1'in alım tarihleri 28.12.1998, Ankara İş Kulesi'nin alış tarihi ise 25.12.1998'dir. Portföy değer tablosunda söz konusu </w:t>
            </w:r>
            <w:proofErr w:type="spellStart"/>
            <w:r>
              <w:rPr>
                <w:rFonts w:ascii="Arial" w:hAnsi="Arial"/>
                <w:sz w:val="16"/>
              </w:rPr>
              <w:t>gayrimenkullere</w:t>
            </w:r>
            <w:proofErr w:type="spellEnd"/>
            <w:r>
              <w:rPr>
                <w:rFonts w:ascii="Arial" w:hAnsi="Arial"/>
                <w:sz w:val="16"/>
              </w:rPr>
              <w:t xml:space="preserve"> ilişkin alış tarihi olarak, şirketin gayrimenkul yatırım  ortaklığına dönüştükten sonra tapuda  İŞ GYO olarak</w:t>
            </w:r>
            <w:r>
              <w:rPr>
                <w:rFonts w:ascii="Arial" w:hAnsi="Arial"/>
                <w:sz w:val="16"/>
              </w:rPr>
              <w:t xml:space="preserve"> cins tashihinin yapıldığı tarih alınmıştır.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2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(7) Toplam borcun %86'si Kanyon Projesi bünyesindeki konutların satışından elde edilen.  avanslardan oluşmaktadır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20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(8) Şirketimizin 5 Nisan 2006 tarihli Yönetim Kurulu toplantısında alınan kararla </w:t>
            </w:r>
            <w:proofErr w:type="spellStart"/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atilya</w:t>
            </w:r>
            <w:proofErr w:type="spellEnd"/>
            <w:r>
              <w:rPr>
                <w:rFonts w:ascii="Arial" w:hAnsi="Arial"/>
                <w:sz w:val="16"/>
              </w:rPr>
              <w:t xml:space="preserve"> Eğlence Merkezi ile ilgili mevcut kira sözleşmesi sona </w:t>
            </w:r>
            <w:proofErr w:type="spellStart"/>
            <w:r>
              <w:rPr>
                <w:rFonts w:ascii="Arial" w:hAnsi="Arial"/>
                <w:sz w:val="16"/>
              </w:rPr>
              <w:t>erdirilmiştir.Tatilya</w:t>
            </w:r>
            <w:proofErr w:type="spellEnd"/>
            <w:r>
              <w:rPr>
                <w:rFonts w:ascii="Arial" w:hAnsi="Arial"/>
                <w:sz w:val="16"/>
              </w:rPr>
              <w:t xml:space="preserve"> Eğlence Merkezi  çevresinde bulunan arsalarla ilgili yeni proje geliştirilmesi hususunda görüşmeler devam etmektedir. 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21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Tatilya</w:t>
            </w:r>
            <w:proofErr w:type="spellEnd"/>
            <w:r>
              <w:rPr>
                <w:rFonts w:ascii="Arial" w:hAnsi="Arial"/>
                <w:sz w:val="16"/>
              </w:rPr>
              <w:t xml:space="preserve"> Eğlence Merkezi çevresindeki 105 </w:t>
            </w:r>
            <w:proofErr w:type="spellStart"/>
            <w:r>
              <w:rPr>
                <w:rFonts w:ascii="Arial" w:hAnsi="Arial"/>
                <w:sz w:val="16"/>
              </w:rPr>
              <w:t>No'lu</w:t>
            </w:r>
            <w:proofErr w:type="spellEnd"/>
            <w:r>
              <w:rPr>
                <w:rFonts w:ascii="Arial" w:hAnsi="Arial"/>
                <w:sz w:val="16"/>
              </w:rPr>
              <w:t xml:space="preserve"> pa</w:t>
            </w:r>
            <w:r>
              <w:rPr>
                <w:rFonts w:ascii="Arial" w:hAnsi="Arial"/>
                <w:sz w:val="16"/>
              </w:rPr>
              <w:t xml:space="preserve">rsel üzerinde </w:t>
            </w: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Projesi inşaatına başlanmış ve  yıl sonuna kadar 8.117.058.-YTL harcama gerçekleştirilmiş ve portföy değeri hesaplamalarında  bu değer esas alınmıştır. Ekspertiz raporunda söz konusu projenin bitmiş rayiç değeri ise 72.200.000.-YTL olara</w:t>
            </w:r>
            <w:r>
              <w:rPr>
                <w:rFonts w:ascii="Arial" w:hAnsi="Arial"/>
                <w:sz w:val="16"/>
              </w:rPr>
              <w:t>k öngörülmektedir.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71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(9) </w:t>
            </w:r>
            <w:proofErr w:type="spellStart"/>
            <w:r>
              <w:rPr>
                <w:rFonts w:ascii="Arial" w:hAnsi="Arial"/>
                <w:sz w:val="16"/>
              </w:rPr>
              <w:t>Sözkonusu</w:t>
            </w:r>
            <w:proofErr w:type="spellEnd"/>
            <w:r>
              <w:rPr>
                <w:rFonts w:ascii="Arial" w:hAnsi="Arial"/>
                <w:sz w:val="16"/>
              </w:rPr>
              <w:t xml:space="preserve"> taşınmazın alış maliyeti hesaplanırken tapu harcı da dahil edilmiştir.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84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(10) Kanyon Alışveriş Merkezi'nin aylık kira  ekspertiz değeri ile kira bedelleri, Şirketimiz payına düşen tutarları göstermekte olup, topl</w:t>
            </w:r>
            <w:r>
              <w:rPr>
                <w:rFonts w:ascii="Arial" w:hAnsi="Arial"/>
                <w:sz w:val="16"/>
              </w:rPr>
              <w:t>am kira değerlerinin yarısına karşılık gelmektedir.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584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(11) Arsa 1'de henüz bir proje geliştirilemediğinden Ekspertiz Şirketince  emlak vergisi değeri esas alınmıştır.</w:t>
            </w:r>
          </w:p>
        </w:tc>
      </w:tr>
    </w:tbl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3119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4961" w:type="dxa"/>
            <w:gridSpan w:val="2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main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</w:t>
            </w:r>
            <w:r>
              <w:rPr>
                <w:rFonts w:ascii="Arial" w:hAnsi="Arial"/>
                <w:sz w:val="16"/>
              </w:rPr>
              <w:t>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their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equity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shown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below.</w:t>
            </w:r>
            <w:proofErr w:type="spellEnd"/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sz w:val="16"/>
              </w:rPr>
              <w:t>Ünvanı</w:t>
            </w:r>
            <w:proofErr w:type="spellEnd"/>
            <w:r>
              <w:rPr>
                <w:rFonts w:ascii="Arial" w:hAnsi="Arial"/>
                <w:sz w:val="16"/>
              </w:rPr>
              <w:t xml:space="preserve">  (</w:t>
            </w:r>
            <w:proofErr w:type="spellStart"/>
            <w:r>
              <w:rPr>
                <w:rFonts w:ascii="Arial" w:hAnsi="Arial"/>
                <w:sz w:val="16"/>
              </w:rPr>
              <w:t>Share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Holders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3119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Tutar (YTL)   </w:t>
            </w:r>
            <w:proofErr w:type="spellStart"/>
            <w:r>
              <w:rPr>
                <w:rFonts w:ascii="Arial" w:hAnsi="Arial"/>
                <w:sz w:val="16"/>
              </w:rPr>
              <w:t>Amount</w:t>
            </w:r>
            <w:proofErr w:type="spellEnd"/>
            <w:r>
              <w:rPr>
                <w:rFonts w:ascii="Arial" w:hAnsi="Arial"/>
                <w:sz w:val="16"/>
              </w:rPr>
              <w:t xml:space="preserve"> (YTL)</w:t>
            </w:r>
          </w:p>
        </w:tc>
        <w:tc>
          <w:tcPr>
            <w:tcW w:w="1842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(%)                          </w:t>
            </w:r>
            <w:proofErr w:type="spellStart"/>
            <w:r>
              <w:rPr>
                <w:rFonts w:ascii="Arial" w:hAnsi="Arial"/>
                <w:sz w:val="16"/>
              </w:rPr>
              <w:t>Share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1-Türkiye İş Bankası A.Ş.</w:t>
            </w:r>
          </w:p>
        </w:tc>
        <w:tc>
          <w:tcPr>
            <w:tcW w:w="3119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139.360.970</w:t>
            </w:r>
          </w:p>
        </w:tc>
        <w:tc>
          <w:tcPr>
            <w:tcW w:w="1842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2-Anadolu Hayat</w:t>
            </w:r>
            <w:r>
              <w:rPr>
                <w:rFonts w:ascii="Arial" w:hAnsi="Arial"/>
                <w:sz w:val="16"/>
              </w:rPr>
              <w:t xml:space="preserve"> Emeklilik A.Ş.</w:t>
            </w:r>
          </w:p>
        </w:tc>
        <w:tc>
          <w:tcPr>
            <w:tcW w:w="3119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23.455.279</w:t>
            </w:r>
          </w:p>
        </w:tc>
        <w:tc>
          <w:tcPr>
            <w:tcW w:w="1842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3-Anadolu Anonim Türk Sigorta Şirketi A.Ş.</w:t>
            </w:r>
          </w:p>
        </w:tc>
        <w:tc>
          <w:tcPr>
            <w:tcW w:w="3119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15.748.446</w:t>
            </w:r>
          </w:p>
        </w:tc>
        <w:tc>
          <w:tcPr>
            <w:tcW w:w="1842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4-İş Yatırım Menkul Değerler  A.Ş.</w:t>
            </w:r>
          </w:p>
        </w:tc>
        <w:tc>
          <w:tcPr>
            <w:tcW w:w="3119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4.509.372</w:t>
            </w:r>
          </w:p>
        </w:tc>
        <w:tc>
          <w:tcPr>
            <w:tcW w:w="1842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</w:t>
            </w:r>
            <w:proofErr w:type="spellStart"/>
            <w:r>
              <w:rPr>
                <w:rFonts w:ascii="Arial" w:hAnsi="Arial"/>
                <w:sz w:val="16"/>
              </w:rPr>
              <w:t>İşnet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Elekt.</w:t>
            </w:r>
            <w:proofErr w:type="spellEnd"/>
            <w:r>
              <w:rPr>
                <w:rFonts w:ascii="Arial" w:hAnsi="Arial"/>
                <w:sz w:val="16"/>
              </w:rPr>
              <w:t xml:space="preserve"> Bilgi </w:t>
            </w:r>
            <w:proofErr w:type="spellStart"/>
            <w:r>
              <w:rPr>
                <w:rFonts w:ascii="Arial" w:hAnsi="Arial"/>
                <w:sz w:val="16"/>
              </w:rPr>
              <w:t>Üret.Dağ.Tic.İletş.Hizm.A.Ş.</w:t>
            </w:r>
            <w:proofErr w:type="spellEnd"/>
          </w:p>
        </w:tc>
        <w:tc>
          <w:tcPr>
            <w:tcW w:w="3119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4.374.194</w:t>
            </w:r>
          </w:p>
        </w:tc>
        <w:tc>
          <w:tcPr>
            <w:tcW w:w="1842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,33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İş Merkezleri Yönetim ve İşletim A.Ş.</w:t>
            </w:r>
          </w:p>
        </w:tc>
        <w:tc>
          <w:tcPr>
            <w:tcW w:w="3119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3.612.903</w:t>
            </w:r>
          </w:p>
        </w:tc>
        <w:tc>
          <w:tcPr>
            <w:tcW w:w="1842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İş Portföy Yönetimi A.Ş.</w:t>
            </w:r>
          </w:p>
        </w:tc>
        <w:tc>
          <w:tcPr>
            <w:tcW w:w="3119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1.204.838</w:t>
            </w:r>
          </w:p>
        </w:tc>
        <w:tc>
          <w:tcPr>
            <w:tcW w:w="1842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</w:t>
            </w:r>
            <w:proofErr w:type="spellStart"/>
            <w:r>
              <w:rPr>
                <w:rFonts w:ascii="Arial" w:hAnsi="Arial"/>
                <w:sz w:val="16"/>
              </w:rPr>
              <w:t>Nemtaş</w:t>
            </w:r>
            <w:proofErr w:type="spellEnd"/>
            <w:r>
              <w:rPr>
                <w:rFonts w:ascii="Arial" w:hAnsi="Arial"/>
                <w:sz w:val="16"/>
              </w:rPr>
              <w:t xml:space="preserve"> Nemrut Liman İşletmeleri A.Ş.</w:t>
            </w:r>
          </w:p>
        </w:tc>
        <w:tc>
          <w:tcPr>
            <w:tcW w:w="3119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9.428</w:t>
            </w:r>
          </w:p>
        </w:tc>
        <w:tc>
          <w:tcPr>
            <w:tcW w:w="1842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9-Halka Açık Kısım</w:t>
            </w:r>
          </w:p>
        </w:tc>
        <w:tc>
          <w:tcPr>
            <w:tcW w:w="3119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137.690.570</w:t>
            </w:r>
          </w:p>
        </w:tc>
        <w:tc>
          <w:tcPr>
            <w:tcW w:w="1842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41,73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ED6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   </w:t>
            </w:r>
          </w:p>
        </w:tc>
        <w:tc>
          <w:tcPr>
            <w:tcW w:w="3119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329.966.000</w:t>
            </w:r>
          </w:p>
        </w:tc>
        <w:tc>
          <w:tcPr>
            <w:tcW w:w="1842" w:type="dxa"/>
          </w:tcPr>
          <w:p w:rsidR="00000000" w:rsidRDefault="00ED6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p w:rsidR="00000000" w:rsidRDefault="00ED66E8">
      <w:pPr>
        <w:rPr>
          <w:rFonts w:ascii="Arial" w:hAnsi="Arial"/>
          <w:sz w:val="16"/>
        </w:rPr>
      </w:pPr>
    </w:p>
    <w:sectPr w:rsidR="00000000">
      <w:pgSz w:w="16838" w:h="11906" w:orient="landscape"/>
      <w:pgMar w:top="992" w:right="170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6E8"/>
    <w:rsid w:val="00ED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23EE6-86F5-40D3-A4F0-1A98A25E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2496</Words>
  <Characters>14230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İŞ GAYRİMENKUL YATIRIM ORTAKLIĞI A</vt:lpstr>
    </vt:vector>
  </TitlesOfParts>
  <Company/>
  <LinksUpToDate>false</LinksUpToDate>
  <CharactersWithSpaces>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İŞ GAYRİMENKUL YATIRIM ORTAKLIĞI A</dc:title>
  <dc:subject/>
  <dc:creator>sbeser</dc:creator>
  <cp:keywords/>
  <dc:description/>
  <cp:lastModifiedBy>ozgursheker@gmail.com</cp:lastModifiedBy>
  <cp:revision>2</cp:revision>
  <cp:lastPrinted>2007-04-16T18:46:00Z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-1166077160</vt:i4>
  </property>
  <property fmtid="{D5CDD505-2E9C-101B-9397-08002B2CF9AE}" pid="3" name="_EmailSubject">
    <vt:lpwstr>SYB </vt:lpwstr>
  </property>
  <property fmtid="{D5CDD505-2E9C-101B-9397-08002B2CF9AE}" pid="4" name="_AuthorEmail">
    <vt:lpwstr>sbeser@isgyo.com.tr</vt:lpwstr>
  </property>
  <property fmtid="{D5CDD505-2E9C-101B-9397-08002B2CF9AE}" pid="5" name="_AuthorEmailDisplayName">
    <vt:lpwstr>Selma Beşer</vt:lpwstr>
  </property>
  <property fmtid="{D5CDD505-2E9C-101B-9397-08002B2CF9AE}" pid="6" name="_ReviewingToolsShownOnce">
    <vt:lpwstr/>
  </property>
</Properties>
</file>