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61AC">
            <w:pPr>
              <w:pStyle w:val="Heading2"/>
            </w:pPr>
            <w:r>
              <w:t>SODA SANAYİİ A.Ş.</w:t>
            </w:r>
          </w:p>
        </w:tc>
      </w:tr>
    </w:tbl>
    <w:p w:rsidR="00000000" w:rsidRDefault="00B661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</w:t>
            </w:r>
            <w:r>
              <w:rPr>
                <w:rFonts w:ascii="Arial" w:hAnsi="Arial"/>
                <w:sz w:val="16"/>
              </w:rPr>
              <w:t>ANKROM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SODAASH, LİGHT SODAASH, HEAVY SODAASH, SODIUM BICARBONATE, SODİUM SİLİCATE, SODIUM DICROMATE, SODIUM SULPHIDE,  SODIUM SULPHATE , BASİC  CHROMIUM SULPHATE  (TANK</w:t>
            </w:r>
            <w:r>
              <w:rPr>
                <w:rFonts w:ascii="Arial" w:hAnsi="Arial"/>
                <w:sz w:val="16"/>
              </w:rPr>
              <w:t>ROM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KULE-3   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 TOWERS TOWER-3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YI</w:t>
            </w:r>
            <w:r>
              <w:rPr>
                <w:rFonts w:ascii="Arial" w:hAnsi="Arial"/>
                <w:sz w:val="16"/>
              </w:rPr>
              <w:t>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 TEVFİK ATEŞ KUT 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DILEK CAMLI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 ATUKALP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ÖZGÜN ÇINAR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İHSAN ORHON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ERSOY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212 350 58 60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 MEMUR, 501 İŞÇİ / 460 CIVIL SERVANT, 501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</w:t>
            </w:r>
            <w:r>
              <w:rPr>
                <w:rFonts w:ascii="Arial" w:hAnsi="Arial"/>
                <w:sz w:val="16"/>
              </w:rPr>
              <w:t>SI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PETROLEUM OIL CHEMICAL RUBBER WORKERS TRADE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62.630.000.-YTL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</w:t>
            </w:r>
            <w:r>
              <w:rPr>
                <w:rFonts w:ascii="Arial" w:hAnsi="Arial"/>
                <w:b/>
                <w:color w:val="000000"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62.630.000.-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İMKB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6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ISE NATIONAL MARKET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673"/>
        <w:gridCol w:w="1134"/>
        <w:gridCol w:w="1134"/>
        <w:gridCol w:w="1164"/>
        <w:gridCol w:w="254"/>
        <w:gridCol w:w="427"/>
        <w:gridCol w:w="391"/>
        <w:gridCol w:w="32"/>
        <w:gridCol w:w="1135"/>
        <w:gridCol w:w="851"/>
        <w:gridCol w:w="1276"/>
        <w:gridCol w:w="11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  <w:gridSpan w:val="2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4" w:type="dxa"/>
            <w:gridSpan w:val="6"/>
          </w:tcPr>
          <w:p w:rsidR="00000000" w:rsidRDefault="00B661AC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The produ</w:t>
            </w:r>
            <w:r>
              <w:rPr>
                <w:rFonts w:ascii="Arial" w:hAnsi="Arial"/>
                <w:i/>
                <w:sz w:val="16"/>
              </w:rPr>
              <w:t>ction figures of the Company for the last two</w:t>
            </w:r>
          </w:p>
          <w:p w:rsidR="00000000" w:rsidRDefault="00B661AC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years are  shown below.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1807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Sodyum                                                                                                                           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Karbonat  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(Ton)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8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K.K.O.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Sodyum Silikat (Ton)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Sodyum</w:t>
            </w:r>
          </w:p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Bikromat         </w:t>
            </w:r>
          </w:p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(Ton)</w:t>
            </w:r>
          </w:p>
        </w:tc>
        <w:tc>
          <w:tcPr>
            <w:tcW w:w="1169" w:type="dxa"/>
          </w:tcPr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765.523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103.050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22.748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58.311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742.087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98.220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28.648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48.303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Tankrom 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romik Asit (Ton)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50.488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76.830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851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12.982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46.</w:t>
            </w:r>
            <w:r>
              <w:rPr>
                <w:rFonts w:ascii="Arial" w:hAnsi="Arial"/>
                <w:sz w:val="16"/>
              </w:rPr>
              <w:t>160</w:t>
            </w:r>
          </w:p>
        </w:tc>
        <w:tc>
          <w:tcPr>
            <w:tcW w:w="113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418" w:type="dxa"/>
            <w:gridSpan w:val="2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62.107</w:t>
            </w:r>
          </w:p>
        </w:tc>
        <w:tc>
          <w:tcPr>
            <w:tcW w:w="850" w:type="dxa"/>
            <w:gridSpan w:val="3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94</w:t>
            </w:r>
          </w:p>
        </w:tc>
        <w:tc>
          <w:tcPr>
            <w:tcW w:w="1135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32</w:t>
            </w:r>
          </w:p>
        </w:tc>
        <w:tc>
          <w:tcPr>
            <w:tcW w:w="851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11.828</w:t>
            </w:r>
          </w:p>
        </w:tc>
        <w:tc>
          <w:tcPr>
            <w:tcW w:w="1169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81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661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661AC">
      <w:pPr>
        <w:rPr>
          <w:rFonts w:ascii="Arial" w:hAnsi="Arial"/>
          <w:sz w:val="16"/>
        </w:rPr>
      </w:pPr>
    </w:p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710"/>
        <w:gridCol w:w="1134"/>
        <w:gridCol w:w="1134"/>
        <w:gridCol w:w="992"/>
        <w:gridCol w:w="1134"/>
        <w:gridCol w:w="992"/>
        <w:gridCol w:w="993"/>
        <w:gridCol w:w="1134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ind w:left="34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ind w:right="-2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</w:t>
            </w:r>
            <w:r>
              <w:rPr>
                <w:rFonts w:ascii="Arial" w:hAnsi="Arial"/>
                <w:b/>
                <w:sz w:val="16"/>
              </w:rPr>
              <w:t>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Sulphide (Tons)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</w:t>
            </w:r>
          </w:p>
          <w:p w:rsidR="00000000" w:rsidRDefault="00B661AC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891.865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105.062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21.864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7.829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4.671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39.000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65.398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13.421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906.518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101.635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28.766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8.497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5.261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29.315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65.435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661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11.203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p w:rsidR="00000000" w:rsidRDefault="00B661AC">
      <w:pPr>
        <w:rPr>
          <w:rFonts w:ascii="Arial" w:hAnsi="Arial"/>
          <w:sz w:val="18"/>
        </w:rPr>
      </w:pPr>
    </w:p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247"/>
        <w:gridCol w:w="1134"/>
        <w:gridCol w:w="42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7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47" w:type="dxa"/>
          </w:tcPr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810"/>
        <w:gridCol w:w="2127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</w:t>
            </w:r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127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B661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90.561.453</w:t>
            </w:r>
          </w:p>
          <w:p w:rsidR="00000000" w:rsidRDefault="00B661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64.422.473</w:t>
            </w:r>
          </w:p>
        </w:tc>
        <w:tc>
          <w:tcPr>
            <w:tcW w:w="2127" w:type="dxa"/>
          </w:tcPr>
          <w:p w:rsidR="00000000" w:rsidRDefault="00B661A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84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197.038.194</w:t>
            </w:r>
          </w:p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137.849.084</w:t>
            </w:r>
          </w:p>
        </w:tc>
        <w:tc>
          <w:tcPr>
            <w:tcW w:w="2268" w:type="dxa"/>
          </w:tcPr>
          <w:p w:rsidR="00000000" w:rsidRDefault="00B661A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B661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B661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80.820.277</w:t>
            </w:r>
          </w:p>
          <w:p w:rsidR="00000000" w:rsidRDefault="00B661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60.027.822</w:t>
            </w:r>
          </w:p>
        </w:tc>
        <w:tc>
          <w:tcPr>
            <w:tcW w:w="2127" w:type="dxa"/>
          </w:tcPr>
          <w:p w:rsidR="00000000" w:rsidRDefault="00B661A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84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158.290.</w:t>
            </w:r>
            <w:r>
              <w:rPr>
                <w:rFonts w:ascii="Arial" w:hAnsi="Arial"/>
                <w:sz w:val="16"/>
              </w:rPr>
              <w:t xml:space="preserve">217           </w:t>
            </w:r>
          </w:p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117.886.103</w:t>
            </w:r>
          </w:p>
        </w:tc>
        <w:tc>
          <w:tcPr>
            <w:tcW w:w="2268" w:type="dxa"/>
          </w:tcPr>
          <w:p w:rsidR="00000000" w:rsidRDefault="00B661A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B661AC">
      <w:pPr>
        <w:rPr>
          <w:rFonts w:ascii="Arial" w:hAnsi="Arial"/>
          <w:b/>
          <w:u w:val="single"/>
        </w:rPr>
      </w:pPr>
    </w:p>
    <w:p w:rsidR="00000000" w:rsidRDefault="00B661AC">
      <w:pPr>
        <w:rPr>
          <w:rFonts w:ascii="Arial" w:hAnsi="Arial"/>
          <w:sz w:val="16"/>
        </w:rPr>
      </w:pPr>
    </w:p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661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2644"/>
        <w:gridCol w:w="1461"/>
        <w:gridCol w:w="1091"/>
        <w:gridCol w:w="43"/>
        <w:gridCol w:w="2225"/>
        <w:gridCol w:w="1843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</w:t>
            </w:r>
            <w:r>
              <w:rPr>
                <w:rFonts w:ascii="Arial" w:hAnsi="Arial"/>
                <w:b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(New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(New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GELİŞTİRME YATIRIMLARI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IMPROVEMENT INVESTMENTS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01.01.2006-31.12.2006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22.398.000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4.853.000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</w:t>
            </w:r>
            <w:r>
              <w:rPr>
                <w:rFonts w:ascii="Arial" w:hAnsi="Arial"/>
                <w:sz w:val="16"/>
              </w:rPr>
              <w:t>TIRIMLARI</w:t>
            </w:r>
          </w:p>
          <w:p w:rsidR="00000000" w:rsidRDefault="00B661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REPLACEMENT INVESTMENTS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01.01.2006-31.12.2006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1.582.000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61A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826.000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9" w:type="dxa"/>
          <w:cantSplit/>
        </w:trPr>
        <w:tc>
          <w:tcPr>
            <w:tcW w:w="4105" w:type="dxa"/>
            <w:gridSpan w:val="2"/>
          </w:tcPr>
          <w:p w:rsidR="00000000" w:rsidRDefault="00B661AC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B661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gridSpan w:val="2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661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661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A.Ş.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973.043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24.901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OXYVİT KİMYA SAN.A.Ş.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147.400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9.510.835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CROMITAL S.P.A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2.171.610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SOLVAY ŞİŞE CAM HOLDİNG AG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18.639.782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BULGARİA LTD.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490 YTL 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ŞHANGAI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277.400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SİNTAN KİMYA SAN.VE TİC.A.Ş.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264.000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SODA LUKAVAC D.O.</w:t>
            </w:r>
            <w:r>
              <w:rPr>
                <w:rFonts w:ascii="Arial" w:hAnsi="Arial"/>
                <w:color w:val="000000"/>
                <w:sz w:val="16"/>
              </w:rPr>
              <w:t>O.</w:t>
            </w:r>
          </w:p>
        </w:tc>
        <w:tc>
          <w:tcPr>
            <w:tcW w:w="2304" w:type="dxa"/>
          </w:tcPr>
          <w:p w:rsidR="00000000" w:rsidRDefault="00B661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44.683.745 YTL</w:t>
            </w:r>
          </w:p>
        </w:tc>
        <w:tc>
          <w:tcPr>
            <w:tcW w:w="2342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</w:t>
            </w:r>
          </w:p>
        </w:tc>
      </w:tr>
    </w:tbl>
    <w:p w:rsidR="00000000" w:rsidRDefault="00B661AC">
      <w:pPr>
        <w:rPr>
          <w:rFonts w:ascii="Arial" w:hAnsi="Arial"/>
          <w:color w:val="FF0000"/>
          <w:sz w:val="16"/>
        </w:rPr>
      </w:pPr>
    </w:p>
    <w:p w:rsidR="00000000" w:rsidRDefault="00B66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-171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(*)Denizli Cam San. Ve Tic. A.Ş. iştirak payı nominal değeridir.Kayıtlı değer ise 1.008.478,00.-YTL dir.</w:t>
      </w:r>
    </w:p>
    <w:p w:rsidR="00000000" w:rsidRDefault="00B661AC">
      <w:pPr>
        <w:ind w:left="-567" w:right="-1468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         (**)Paşabahçe Cam Sanayii ve Ticaret A.Ş. iştirak payı nominal değeridir.Kayıtlı değer ise 19.161.561,00-YTL</w:t>
      </w:r>
    </w:p>
    <w:p w:rsidR="00000000" w:rsidRDefault="00B661AC">
      <w:pPr>
        <w:rPr>
          <w:rFonts w:ascii="Arial" w:hAnsi="Arial"/>
          <w:color w:val="FF0000"/>
          <w:sz w:val="16"/>
        </w:rPr>
      </w:pPr>
    </w:p>
    <w:p w:rsidR="00000000" w:rsidRDefault="00B661AC">
      <w:pPr>
        <w:ind w:right="-380"/>
        <w:rPr>
          <w:rFonts w:ascii="Arial" w:hAnsi="Arial"/>
          <w:color w:val="FF0000"/>
          <w:sz w:val="16"/>
        </w:rPr>
      </w:pPr>
    </w:p>
    <w:p w:rsidR="00000000" w:rsidRDefault="00B661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61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 xml:space="preserve">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661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61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661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61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661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661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61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661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661A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</w:t>
            </w:r>
            <w:r>
              <w:rPr>
                <w:rFonts w:ascii="Arial" w:hAnsi="Arial"/>
                <w:color w:val="000000"/>
                <w:sz w:val="16"/>
              </w:rPr>
              <w:t>İŞE VE CAM FABRİKALARI A.Ş.</w:t>
            </w:r>
          </w:p>
        </w:tc>
        <w:tc>
          <w:tcPr>
            <w:tcW w:w="1892" w:type="dxa"/>
          </w:tcPr>
          <w:p w:rsidR="00000000" w:rsidRDefault="00B661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43.650.180</w:t>
            </w:r>
          </w:p>
        </w:tc>
        <w:tc>
          <w:tcPr>
            <w:tcW w:w="2410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B661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613.709</w:t>
            </w:r>
          </w:p>
        </w:tc>
        <w:tc>
          <w:tcPr>
            <w:tcW w:w="2410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SAN.A.Ş.</w:t>
            </w:r>
          </w:p>
        </w:tc>
        <w:tc>
          <w:tcPr>
            <w:tcW w:w="1892" w:type="dxa"/>
          </w:tcPr>
          <w:p w:rsidR="00000000" w:rsidRDefault="00B661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8.920.000</w:t>
            </w:r>
          </w:p>
        </w:tc>
        <w:tc>
          <w:tcPr>
            <w:tcW w:w="2410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B661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23.913</w:t>
            </w:r>
          </w:p>
        </w:tc>
        <w:tc>
          <w:tcPr>
            <w:tcW w:w="2410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66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TOPLULUK DIŞI</w:t>
            </w:r>
          </w:p>
        </w:tc>
        <w:tc>
          <w:tcPr>
            <w:tcW w:w="1892" w:type="dxa"/>
          </w:tcPr>
          <w:p w:rsidR="00000000" w:rsidRDefault="00B661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9.422.198</w:t>
            </w:r>
          </w:p>
        </w:tc>
        <w:tc>
          <w:tcPr>
            <w:tcW w:w="2410" w:type="dxa"/>
          </w:tcPr>
          <w:p w:rsidR="00000000" w:rsidRDefault="00B661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15.044</w:t>
            </w:r>
          </w:p>
        </w:tc>
      </w:tr>
    </w:tbl>
    <w:p w:rsidR="00000000" w:rsidRDefault="00B661AC">
      <w:pPr>
        <w:jc w:val="both"/>
        <w:rPr>
          <w:rFonts w:ascii="Arial" w:hAnsi="Arial"/>
          <w:sz w:val="18"/>
        </w:rPr>
      </w:pPr>
    </w:p>
    <w:p w:rsidR="00000000" w:rsidRDefault="00B661AC">
      <w:pPr>
        <w:jc w:val="both"/>
        <w:rPr>
          <w:rFonts w:ascii="Arial" w:hAnsi="Arial"/>
          <w:sz w:val="18"/>
        </w:rPr>
      </w:pPr>
    </w:p>
    <w:p w:rsidR="00000000" w:rsidRDefault="00B661A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352" w:bottom="567" w:left="1797" w:header="720" w:footer="720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1AC"/>
    <w:rsid w:val="00B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00D8F-300E-4631-9847-64127617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2007-04-27T20:15:00Z</cp:lastPrinted>
  <dcterms:created xsi:type="dcterms:W3CDTF">2022-09-01T21:37:00Z</dcterms:created>
  <dcterms:modified xsi:type="dcterms:W3CDTF">2022-09-01T21:37:00Z</dcterms:modified>
</cp:coreProperties>
</file>