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A55D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T.S.K.B.   A.Ş.</w:t>
            </w:r>
          </w:p>
        </w:tc>
      </w:tr>
    </w:tbl>
    <w:p w:rsidR="00000000" w:rsidRDefault="002A55D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02.06.1950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KALKINMA VE YATIRIM BANKACILIĞI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Tahoma" w:hAnsi="Tahoma"/>
                <w:sz w:val="17"/>
              </w:rPr>
              <w:t>MECLİSİ MEBUSAN CAD. 161 FINDIKLI 34427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EROĞL</w:t>
            </w:r>
            <w:r>
              <w:rPr>
                <w:rFonts w:ascii="Arial" w:hAnsi="Arial"/>
                <w:color w:val="000000"/>
                <w:sz w:val="16"/>
              </w:rPr>
              <w:t>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CAHİT KOCAÖMER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KADİR AKGÖZ (BAŞKAN VEKİLİ)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BİLGİÇ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CANEVİ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</w:t>
            </w:r>
            <w:r>
              <w:rPr>
                <w:rFonts w:ascii="Arial" w:hAnsi="Arial"/>
                <w:color w:val="000000"/>
                <w:sz w:val="16"/>
              </w:rPr>
              <w:t xml:space="preserve"> ONUR ÖZBİLEN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BURHANETTİN KANTAR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BALİ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GENÇER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DEMİR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EROĞLU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+90 212 334 5050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+90 212 243 2975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INFO@TSKB.COM.TR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</w:t>
            </w:r>
            <w:r>
              <w:rPr>
                <w:rFonts w:ascii="Arial" w:hAnsi="Arial"/>
                <w:b/>
                <w:color w:val="000000"/>
                <w:sz w:val="16"/>
              </w:rPr>
              <w:t>eriod)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55D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400.000.000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55D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3</w:t>
            </w:r>
            <w:r>
              <w:rPr>
                <w:color w:val="auto"/>
              </w:rPr>
              <w:t>00.000.000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55D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A55DE">
      <w:pPr>
        <w:rPr>
          <w:rFonts w:ascii="Arial" w:hAnsi="Arial"/>
          <w:sz w:val="18"/>
        </w:rPr>
      </w:pPr>
    </w:p>
    <w:p w:rsidR="00000000" w:rsidRDefault="002A55DE">
      <w:pPr>
        <w:rPr>
          <w:rFonts w:ascii="Arial" w:hAnsi="Arial"/>
          <w:sz w:val="18"/>
        </w:rPr>
      </w:pPr>
    </w:p>
    <w:p w:rsidR="00000000" w:rsidRDefault="002A55DE">
      <w:pPr>
        <w:rPr>
          <w:rFonts w:ascii="Arial" w:hAnsi="Arial"/>
          <w:sz w:val="18"/>
        </w:rPr>
      </w:pPr>
    </w:p>
    <w:p w:rsidR="00000000" w:rsidRDefault="002A55DE">
      <w:pPr>
        <w:rPr>
          <w:rFonts w:ascii="Arial" w:hAnsi="Arial"/>
          <w:sz w:val="18"/>
        </w:rPr>
      </w:pPr>
    </w:p>
    <w:p w:rsidR="00000000" w:rsidRDefault="002A55DE">
      <w:pPr>
        <w:rPr>
          <w:rFonts w:ascii="Arial" w:hAnsi="Arial"/>
          <w:sz w:val="18"/>
        </w:rPr>
      </w:pPr>
    </w:p>
    <w:p w:rsidR="00000000" w:rsidRDefault="002A55DE">
      <w:pPr>
        <w:rPr>
          <w:rFonts w:ascii="Arial" w:hAnsi="Arial"/>
          <w:sz w:val="18"/>
        </w:rPr>
      </w:pPr>
    </w:p>
    <w:p w:rsidR="00000000" w:rsidRDefault="002A55DE">
      <w:pPr>
        <w:rPr>
          <w:rFonts w:ascii="Arial" w:hAnsi="Arial"/>
          <w:sz w:val="18"/>
        </w:rPr>
      </w:pPr>
    </w:p>
    <w:p w:rsidR="00000000" w:rsidRDefault="002A55DE">
      <w:pPr>
        <w:rPr>
          <w:rFonts w:ascii="Arial" w:hAnsi="Arial"/>
          <w:sz w:val="18"/>
        </w:rPr>
      </w:pPr>
    </w:p>
    <w:p w:rsidR="00000000" w:rsidRDefault="002A55DE">
      <w:pPr>
        <w:rPr>
          <w:rFonts w:ascii="Arial" w:hAnsi="Arial"/>
          <w:sz w:val="18"/>
        </w:rPr>
      </w:pPr>
    </w:p>
    <w:p w:rsidR="00000000" w:rsidRDefault="002A55D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55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 tutarları aşağıda gösterilmektedir.</w:t>
            </w:r>
          </w:p>
        </w:tc>
        <w:tc>
          <w:tcPr>
            <w:tcW w:w="1134" w:type="dxa"/>
          </w:tcPr>
          <w:p w:rsidR="00000000" w:rsidRDefault="002A55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55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of the Bank for the last two  terms are shown below. </w:t>
            </w:r>
          </w:p>
        </w:tc>
      </w:tr>
    </w:tbl>
    <w:p w:rsidR="00000000" w:rsidRDefault="002A55DE">
      <w:pPr>
        <w:rPr>
          <w:rFonts w:ascii="Arial" w:hAnsi="Arial"/>
          <w:sz w:val="18"/>
        </w:rPr>
      </w:pPr>
    </w:p>
    <w:p w:rsidR="00000000" w:rsidRDefault="002A55DE">
      <w:pPr>
        <w:rPr>
          <w:rFonts w:ascii="Arial" w:hAnsi="Arial"/>
          <w:sz w:val="18"/>
        </w:rPr>
      </w:pPr>
    </w:p>
    <w:p w:rsidR="00000000" w:rsidRDefault="002A55DE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A55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2A55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A55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2A55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A55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977" w:type="dxa"/>
          </w:tcPr>
          <w:p w:rsidR="00000000" w:rsidRDefault="002A55DE">
            <w:pPr>
              <w:ind w:left="561"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2,477,599,000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A55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977" w:type="dxa"/>
          </w:tcPr>
          <w:p w:rsidR="00000000" w:rsidRDefault="002A55DE">
            <w:pPr>
              <w:ind w:left="561"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1,789,008,000</w:t>
            </w:r>
          </w:p>
        </w:tc>
      </w:tr>
    </w:tbl>
    <w:p w:rsidR="00000000" w:rsidRDefault="002A55DE">
      <w:pPr>
        <w:rPr>
          <w:rFonts w:ascii="Arial" w:hAnsi="Arial"/>
        </w:rPr>
      </w:pPr>
    </w:p>
    <w:p w:rsidR="00000000" w:rsidRDefault="002A55DE">
      <w:pPr>
        <w:rPr>
          <w:rFonts w:ascii="Arial" w:hAnsi="Arial"/>
        </w:rPr>
      </w:pPr>
    </w:p>
    <w:p w:rsidR="00000000" w:rsidRDefault="002A55DE">
      <w:pPr>
        <w:rPr>
          <w:rFonts w:ascii="Arial" w:hAnsi="Arial"/>
        </w:rPr>
      </w:pPr>
    </w:p>
    <w:p w:rsidR="00000000" w:rsidRDefault="002A55DE">
      <w:pPr>
        <w:rPr>
          <w:rFonts w:ascii="Arial" w:hAnsi="Arial"/>
        </w:rPr>
      </w:pPr>
    </w:p>
    <w:p w:rsidR="00000000" w:rsidRDefault="002A55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A55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A55D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A55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Bank’s are given below.</w:t>
            </w:r>
          </w:p>
        </w:tc>
      </w:tr>
    </w:tbl>
    <w:p w:rsidR="00000000" w:rsidRDefault="002A55DE">
      <w:pPr>
        <w:rPr>
          <w:sz w:val="16"/>
        </w:rPr>
      </w:pPr>
    </w:p>
    <w:p w:rsidR="00000000" w:rsidRDefault="002A55DE">
      <w:pPr>
        <w:rPr>
          <w:sz w:val="16"/>
        </w:rPr>
      </w:pPr>
    </w:p>
    <w:p w:rsidR="00000000" w:rsidRDefault="002A55DE">
      <w:pPr>
        <w:rPr>
          <w:sz w:val="16"/>
        </w:rPr>
      </w:pPr>
    </w:p>
    <w:p w:rsidR="00000000" w:rsidRDefault="002A55D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55D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A55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</w:t>
            </w:r>
            <w:r>
              <w:rPr>
                <w:rFonts w:ascii="Arial" w:hAnsi="Arial"/>
                <w:b/>
                <w:color w:val="000000"/>
                <w:sz w:val="16"/>
              </w:rPr>
              <w:t>ıç-Bitiş Tarihleri</w:t>
            </w:r>
          </w:p>
        </w:tc>
        <w:tc>
          <w:tcPr>
            <w:tcW w:w="2214" w:type="dxa"/>
          </w:tcPr>
          <w:p w:rsidR="00000000" w:rsidRDefault="002A55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A55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A55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A55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A55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55D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A55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A55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A55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55DE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2A55D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2A55D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A55D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55DE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2A55DE">
            <w:pPr>
              <w:jc w:val="center"/>
            </w:pPr>
          </w:p>
        </w:tc>
        <w:tc>
          <w:tcPr>
            <w:tcW w:w="2214" w:type="dxa"/>
          </w:tcPr>
          <w:p w:rsidR="00000000" w:rsidRDefault="002A55D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A55D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A55DE">
      <w:pPr>
        <w:pStyle w:val="BodyText2"/>
      </w:pPr>
    </w:p>
    <w:p w:rsidR="00000000" w:rsidRDefault="002A55D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55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 başlıca iştirakleri ve iştirak ser</w:t>
            </w:r>
            <w:r>
              <w:rPr>
                <w:rFonts w:ascii="Arial" w:hAnsi="Arial"/>
                <w:sz w:val="16"/>
              </w:rPr>
              <w:t xml:space="preserve">mayesi içindeki payı aşağıda gösterilmektedir. </w:t>
            </w:r>
          </w:p>
        </w:tc>
        <w:tc>
          <w:tcPr>
            <w:tcW w:w="1134" w:type="dxa"/>
          </w:tcPr>
          <w:p w:rsidR="00000000" w:rsidRDefault="002A55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55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A55D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232"/>
        <w:gridCol w:w="72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2"/>
          </w:tcPr>
          <w:p w:rsidR="00000000" w:rsidRDefault="002A55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A55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2"/>
          </w:tcPr>
          <w:p w:rsidR="00000000" w:rsidRDefault="002A55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A55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TSKB Gayr</w:t>
            </w:r>
            <w:r>
              <w:rPr>
                <w:rFonts w:ascii="Arial" w:eastAsia="Arial Unicode MS" w:hAnsi="Arial"/>
                <w:sz w:val="18"/>
              </w:rPr>
              <w:t>imenkul Yatırım Ortaklığı A.Ş.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10,000,000YTL 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96.00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Yatırım Finansman Menkul Değerler A.Ş.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11,675,000YTL 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88.78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TSKB Gayrimenkul Değerleme A.Ş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300,000YTL 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80.00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 xml:space="preserve">TSKB Yatırım Ortaklığı A.Ş. 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18,000,000YTL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29.75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 xml:space="preserve">İş Finansal Kiralama A.Ş.  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100,000,000YTL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28.56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Gözlük Sanayi A.Ş.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531,196.20YTL 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21.71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Terme Metal San. Ve Tic. A.Ş.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1,757,500YTL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17.83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İş Girişim Sermayesi Yatırım Ortaklığı A.Ş.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22,500,000YTL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İş Factoring Finasman Hizmetleri A.Ş.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16,000,000YTL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14.75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Ünsa Ambalaj Sanayi ve Tic. A.Ş.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21,927,400YTL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Yatırım Finansman Yatırım Ortaklığı A.Ş.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10,000,000YTL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10.78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Senapa-Stampa Ambalaj San. Ve Tic. A.Ş.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8,250,000YTL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9.15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Servus Bilgisayar A.Ş.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10,450,000YTL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7.14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Takasbank İMKB Takas ve Saklama Bankası A.Ş.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60,000,000YTL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GİP Ge</w:t>
            </w:r>
            <w:r>
              <w:rPr>
                <w:rFonts w:ascii="Arial" w:eastAsia="Arial Unicode MS" w:hAnsi="Arial"/>
                <w:sz w:val="18"/>
              </w:rPr>
              <w:t>lişen İşletmeler Piyasaları A.Ş.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10,000,000YTL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Vadeli İşlem ve Opsiyon Borsası A.Ş.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9,000,000YTL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Provus Bilişim Hizmetleri A.Ş.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4,120,454YTL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İş Portföy Yönetimi A.Ş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15,000,000YTL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Cam Elyaf Sanayi A.Ş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36,121,000YTL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A Bilişim Hi</w:t>
            </w:r>
            <w:r>
              <w:rPr>
                <w:rFonts w:ascii="Arial" w:eastAsia="Arial Unicode MS" w:hAnsi="Arial"/>
                <w:sz w:val="18"/>
              </w:rPr>
              <w:t>zmetleri A.Ş.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50,000YTL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Halı-Halıfleks Halı ve Yer Döş. San ve Tic A.Ş.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1,929,000YTL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0.35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Aykim Aydın Kimya Sanayi ve Tic A.Ş.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30,000YTL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Bakırsan Bakır Sanayi Mamulleri Tic. A.Ş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5,000YTL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Kidaş Kızıltepe İplik ve Dokuma A.Ş.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200YTL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Kuzey Mobilya San ve Tic A.Ş.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100,000YTL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55DE">
            <w:pPr>
              <w:keepNext/>
              <w:keepLines/>
              <w:ind w:right="45"/>
              <w:rPr>
                <w:rFonts w:ascii="Arial" w:eastAsia="Arial Unicode MS" w:hAnsi="Arial"/>
                <w:sz w:val="18"/>
              </w:rPr>
            </w:pPr>
            <w:r>
              <w:rPr>
                <w:rFonts w:ascii="Arial" w:eastAsia="Arial Unicode MS" w:hAnsi="Arial"/>
                <w:sz w:val="18"/>
              </w:rPr>
              <w:t>Pınar Konservecilik  A.Ş.</w:t>
            </w:r>
          </w:p>
        </w:tc>
        <w:tc>
          <w:tcPr>
            <w:tcW w:w="2232" w:type="dxa"/>
          </w:tcPr>
          <w:p w:rsidR="00000000" w:rsidRDefault="002A5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10,000YTL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2A55DE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2.70</w:t>
            </w:r>
          </w:p>
        </w:tc>
      </w:tr>
    </w:tbl>
    <w:p w:rsidR="00000000" w:rsidRDefault="002A55DE">
      <w:pPr>
        <w:rPr>
          <w:rFonts w:ascii="Arial" w:hAnsi="Arial"/>
          <w:b/>
          <w:i/>
          <w:color w:val="FF0000"/>
          <w:u w:val="single"/>
        </w:rPr>
      </w:pPr>
    </w:p>
    <w:p w:rsidR="00000000" w:rsidRDefault="002A55DE">
      <w:pPr>
        <w:rPr>
          <w:rFonts w:ascii="Arial" w:hAnsi="Arial"/>
          <w:b/>
          <w:i/>
          <w:color w:val="FF0000"/>
          <w:u w:val="single"/>
        </w:rPr>
      </w:pPr>
    </w:p>
    <w:p w:rsidR="00000000" w:rsidRDefault="002A55DE">
      <w:pPr>
        <w:rPr>
          <w:rFonts w:ascii="Arial" w:hAnsi="Arial"/>
          <w:color w:val="FF0000"/>
          <w:sz w:val="16"/>
        </w:rPr>
      </w:pPr>
    </w:p>
    <w:p w:rsidR="00000000" w:rsidRDefault="002A55D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55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A55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55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A55DE">
      <w:pPr>
        <w:rPr>
          <w:rFonts w:ascii="Arial" w:hAnsi="Arial"/>
          <w:sz w:val="16"/>
        </w:rPr>
      </w:pPr>
    </w:p>
    <w:p w:rsidR="00000000" w:rsidRDefault="002A55DE">
      <w:pPr>
        <w:pStyle w:val="BodyText"/>
        <w:rPr>
          <w:lang w:val="tr-TR"/>
        </w:rPr>
      </w:pPr>
    </w:p>
    <w:p w:rsidR="00000000" w:rsidRDefault="002A55DE">
      <w:pPr>
        <w:pStyle w:val="BodyText"/>
        <w:rPr>
          <w:lang w:val="tr-TR"/>
        </w:rPr>
      </w:pPr>
    </w:p>
    <w:p w:rsidR="00000000" w:rsidRDefault="002A55DE">
      <w:pPr>
        <w:jc w:val="both"/>
        <w:rPr>
          <w:rFonts w:ascii="Arial" w:hAnsi="Arial"/>
          <w:sz w:val="18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56"/>
        <w:gridCol w:w="2286"/>
        <w:gridCol w:w="141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</w:tcPr>
          <w:p w:rsidR="00000000" w:rsidRDefault="002A55DE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86" w:type="dxa"/>
          </w:tcPr>
          <w:p w:rsidR="00000000" w:rsidRDefault="002A55DE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418" w:type="dxa"/>
          </w:tcPr>
          <w:p w:rsidR="00000000" w:rsidRDefault="002A55DE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5356" w:type="dxa"/>
          </w:tcPr>
          <w:p w:rsidR="00000000" w:rsidRDefault="002A55DE">
            <w:pPr>
              <w:rPr>
                <w:rFonts w:ascii="Arial" w:eastAsia="Arial Unicode MS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86" w:type="dxa"/>
          </w:tcPr>
          <w:p w:rsidR="00000000" w:rsidRDefault="002A55DE">
            <w:pPr>
              <w:jc w:val="center"/>
              <w:rPr>
                <w:rFonts w:ascii="Arial" w:eastAsia="Arial Unicode MS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418" w:type="dxa"/>
          </w:tcPr>
          <w:p w:rsidR="00000000" w:rsidRDefault="002A55DE">
            <w:pPr>
              <w:jc w:val="center"/>
              <w:rPr>
                <w:rFonts w:ascii="Arial" w:eastAsia="Arial Unicode MS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1-T.İŞ BANKASI A.Ş.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121,551,849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2-CAMİŞ YATIRIM HOLDİNG A.Ş.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17,389,470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3-MİLLİ REASÜRANS T.A.Ş.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3,612,433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4-ANADOLU HAYAT EMEKLİLİK A.Ş.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2,6</w:t>
            </w:r>
            <w:r>
              <w:rPr>
                <w:rFonts w:ascii="Arial" w:hAnsi="Arial"/>
                <w:sz w:val="16"/>
              </w:rPr>
              <w:t>72,328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5-ANADOLU SİGORTA A.Ş.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2,674,617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6-T.İŞ BANKASI A.Ş. EMEKLİ SANDIĞI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2,392,614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7-T.VAKIFLAR BANKASI T.A.O.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25,132,456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8.38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8-T.S.K.B.EMEKLİ VAKFI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5,241,765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9-İSTANBUL TİCARET ODASI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1,547,834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10-İSTANBUL TİCARET BORSASI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626,570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11-İSTANBUL SANAYİ ODASI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358,808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12-İZMİR TİCARET ODASI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4,707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13-ANKARA SIGORTA A.S.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500,081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14-CUKUROVA SAN ISLETMELERI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174,111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15-ENKA SPOR VAKFI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16,576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16-ENKA İNŞAAT VE SANAYİ A.S.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88,281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17-CIMTAS CELI</w:t>
            </w:r>
            <w:r>
              <w:rPr>
                <w:rFonts w:ascii="Arial" w:hAnsi="Arial"/>
                <w:sz w:val="16"/>
              </w:rPr>
              <w:t>K A.S.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66,210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18-PIMAS PLASTIK A.S.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37,242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19-AKSU IPLIK A.S.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39,754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20-ALSIM ALARKO A.S.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49,658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21-ELGINKAN HOLDING A.S.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393,768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22-GENERALI SIGORTA A.S.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6,707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23-HUR SIGORTA A.S.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3,070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24-ISTANBUL UMUM SIGORTA A.</w:t>
            </w:r>
            <w:r>
              <w:rPr>
                <w:rFonts w:ascii="Arial" w:hAnsi="Arial"/>
                <w:sz w:val="16"/>
              </w:rPr>
              <w:t>S.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14,572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25-KAPLANTEKS A.S.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9,793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26-KUTLUTAS HOLDING A.S.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13,798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27-SINAI VE MALI YATIRIM A.S.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46,072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28-T.GENEL SIGORTA A.S.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14,306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  <w:r>
              <w:rPr>
                <w:rFonts w:ascii="Arial" w:hAnsi="Arial"/>
                <w:sz w:val="16"/>
              </w:rPr>
              <w:t>-OYAKBANK A.Ş.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5,120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30-TAYLAN HOLDING A.S.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1,666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31-TEKFEN HOLDING A.S.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140,763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32-HACI ÖMER SABANCI VAKFI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95,282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33-H.IBRAHIM BODUR HOLDING A.S.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34-VEHBI KOC VAKFI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4,369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35-ECZACIBASI ILAC SAN.A.S.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36-ŞEKER </w:t>
            </w:r>
            <w:r>
              <w:rPr>
                <w:rFonts w:ascii="Arial" w:hAnsi="Arial"/>
                <w:sz w:val="16"/>
              </w:rPr>
              <w:t>SİGORTA A.Ş.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37-MERKEZİ KAYIT KURULUŞUNDA SAKLANAN SIRKET VE SAHISLAR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114,770,393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35.26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38-FİZİKSEL KENDİNDE SAKLAYAN DIGER  SAHISLAR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302,903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356" w:type="dxa"/>
            <w:vAlign w:val="bottom"/>
          </w:tcPr>
          <w:p w:rsidR="00000000" w:rsidRDefault="002A55D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286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300,000,000</w:t>
            </w:r>
          </w:p>
        </w:tc>
        <w:tc>
          <w:tcPr>
            <w:tcW w:w="1418" w:type="dxa"/>
            <w:vAlign w:val="bottom"/>
          </w:tcPr>
          <w:p w:rsidR="00000000" w:rsidRDefault="002A55DE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2A55DE">
      <w:pPr>
        <w:jc w:val="both"/>
        <w:rPr>
          <w:rFonts w:ascii="Arial" w:hAnsi="Arial"/>
          <w:sz w:val="16"/>
        </w:rPr>
      </w:pPr>
    </w:p>
    <w:p w:rsidR="00000000" w:rsidRDefault="002A55DE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55DE"/>
    <w:rsid w:val="002A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442D2-B641-4782-9EA6-C9F5EB63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color w:val="000000"/>
      <w:sz w:val="16"/>
      <w:szCs w:val="16"/>
      <w:lang w:val="en-US" w:eastAsia="en-U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color w:val="000000"/>
      <w:sz w:val="16"/>
      <w:szCs w:val="16"/>
      <w:lang w:val="en-US" w:eastAsia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i/>
      <w:iCs/>
      <w:color w:val="000000"/>
      <w:sz w:val="16"/>
      <w:szCs w:val="16"/>
      <w:u w:val="single"/>
      <w:lang w:val="en-US" w:eastAsia="en-U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i/>
      <w:iCs/>
      <w:color w:val="000000"/>
      <w:sz w:val="16"/>
      <w:szCs w:val="16"/>
      <w:u w:val="single"/>
      <w:lang w:val="en-US" w:eastAsia="en-U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 w:eastAsia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 w:eastAsia="en-U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  <w:lang w:val="en-US" w:eastAsia="en-US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 w:eastAsia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  <w:lang w:val="en-US" w:eastAsia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TSKB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5464</CharactersWithSpaces>
  <SharedDoc>false</SharedDoc>
  <HLinks>
    <vt:vector size="6" baseType="variant">
      <vt:variant>
        <vt:i4>4587579</vt:i4>
      </vt:variant>
      <vt:variant>
        <vt:i4>0</vt:i4>
      </vt:variant>
      <vt:variant>
        <vt:i4>0</vt:i4>
      </vt:variant>
      <vt:variant>
        <vt:i4>5</vt:i4>
      </vt:variant>
      <vt:variant>
        <vt:lpwstr>mailto:INFO@TSKB.COM.TR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2007-04-18T13:45:00Z</cp:lastPrinted>
  <dcterms:created xsi:type="dcterms:W3CDTF">2022-09-01T21:37:00Z</dcterms:created>
  <dcterms:modified xsi:type="dcterms:W3CDTF">2022-09-01T21:37:00Z</dcterms:modified>
</cp:coreProperties>
</file>