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76D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FENERBAHÇE SPORTİF HİZMETLER SANAYİ VE TİCARET A.Ş.</w:t>
            </w:r>
          </w:p>
        </w:tc>
      </w:tr>
    </w:tbl>
    <w:p w:rsidR="00000000" w:rsidRDefault="001076D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10.06.1998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JUNE 10, 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ŞİRKETİN ANA FAALİYET KONUSU FENERBAHÇE SPOR KULÜBÜ’NE AİT PROFESYONEL FUTBOL TAKIMININ SPORTİF, EĞİTSEL, HUKUK</w:t>
            </w:r>
            <w:r>
              <w:rPr>
                <w:rFonts w:ascii="Arial" w:hAnsi="Arial"/>
                <w:color w:val="000000"/>
                <w:sz w:val="16"/>
              </w:rPr>
              <w:t>İ VE EKONOMİK FAALİYETLERİNİ KISMEN VEYA TAMAMEN YÖNETMEKTİR. BU FAALİYETLER, FENERBAHÇE PROFESYONEL FUTBOL TAKIMI MAÇ YAYINLARINDAN, FORMA REKLAMLARINDAN, MAÇ HASILATLARINDAN, REKLAMLARDAN, FENERBAHÇE LOGO VE İSİM HAKKININ KULLANDIRILMASI GİBİ HUSUSLARDAN</w:t>
            </w:r>
            <w:r>
              <w:rPr>
                <w:rFonts w:ascii="Arial" w:hAnsi="Arial"/>
                <w:color w:val="000000"/>
                <w:sz w:val="16"/>
              </w:rPr>
              <w:t xml:space="preserve"> GELİR ELDE EDİLMESİNİ İÇERMEKTEDİR.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COMPANY MANAGES PARTLY OR IN TOTAL THE SPORTIVE, EDUCATIONAL, LEGAL, ECONOMIC ACTIVITIES OF THE PROFESSIONAL FOOTBALL TEAM OWNED BY THE FENERBAHÇE SPORTS CLUB. THESE ACTIVITIES INCLUDE THE MAN</w:t>
            </w:r>
            <w:r>
              <w:rPr>
                <w:rFonts w:ascii="Arial" w:hAnsi="Arial"/>
                <w:color w:val="000000"/>
                <w:sz w:val="16"/>
              </w:rPr>
              <w:t>AGEMENT AND MARKETING OF THE FENERBAHÇE BRAND NAME AND RIGHTS; GENERATION OF INCOME FROM SPONSORSHIP AGREEMENTS, BROADCASTING RIGHTS, STADIUM AND ADVERTISING ACTIVITIES.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FENERBAHÇE ŞÜKRÜ SARACOĞLU STADI,MARATON GİRİŞİ KIZILTOPRAK, KADIKÖY İ</w:t>
            </w:r>
            <w:r>
              <w:rPr>
                <w:rFonts w:ascii="Arial" w:hAnsi="Arial"/>
                <w:color w:val="000000"/>
                <w:sz w:val="16"/>
              </w:rPr>
              <w:t>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FENERBAHÇE ŞÜKRÜ SARACOĞLU STADI,MARATON GİRİŞİ KIZILTOPRAK, KADIKÖY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DUMANLI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DUMANLI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ÜYELERİ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BAŞKANI              : AZİZ YILDIRIM</w:t>
            </w:r>
          </w:p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</w:t>
            </w:r>
            <w:r>
              <w:rPr>
                <w:rFonts w:ascii="Arial" w:hAnsi="Arial"/>
                <w:color w:val="000000"/>
                <w:sz w:val="16"/>
              </w:rPr>
              <w:t>U BAŞKAN VEKİLİ   : NİHAT ÖZDEMİR</w:t>
            </w:r>
          </w:p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MURAHHAS ÜYE                                 : Y. ALİ KOÇ</w:t>
            </w:r>
          </w:p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                  : OSMAN MURAT ÖZAYDINLI</w:t>
            </w:r>
          </w:p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                  : MAHMUT NEDİM USLU</w:t>
            </w:r>
          </w:p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ÜYE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: VEDAT OLCAY</w:t>
            </w:r>
          </w:p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                  : NİHAT ÖZBAĞI</w:t>
            </w:r>
          </w:p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                  : MİTHAT YENİGÜN</w:t>
            </w:r>
          </w:p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ÜYE       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: ŞEKİP MOSTUROĞLU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CHAIRMAN                                          : AZİZ YILDIRIM</w:t>
            </w:r>
          </w:p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VICE-CHAIRMAN                                 : NİHAT ÖZDEMİR</w:t>
            </w:r>
          </w:p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MEMBER IN CHARGE                         : Y.ALİ KOÇ</w:t>
            </w:r>
          </w:p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MEMBER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: OSMAN MURAT ÖZAYDINLI</w:t>
            </w:r>
          </w:p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MEMBER                                             : MAHMUT NEDİM USLU</w:t>
            </w:r>
          </w:p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MEMBER                                             : VEDAT OLCAY</w:t>
            </w:r>
          </w:p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MEMBER                                             : NİHAT ÖZBAĞI</w:t>
            </w:r>
          </w:p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MEMBER                                             : MİTHAT YENİGÜN</w:t>
            </w:r>
          </w:p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MEMBER                                             : ŞEKİP MOSTUROĞLU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+ 90 216 542 1907 (Dahili: 1961 / 1964)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+ 90</w:t>
            </w:r>
            <w:r>
              <w:rPr>
                <w:rFonts w:ascii="Arial" w:hAnsi="Arial"/>
                <w:color w:val="000000"/>
                <w:sz w:val="16"/>
              </w:rPr>
              <w:t xml:space="preserve"> 216 542 1907 (Extension 1961 / 1964)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+ 90 216 542 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+ 90 216 542 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SAYISI</w:t>
            </w:r>
          </w:p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</w:t>
            </w:r>
          </w:p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fbsportif@fenerbahce.org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; edumanli@fenerb</w:t>
            </w:r>
            <w:r>
              <w:rPr>
                <w:rFonts w:ascii="Arial" w:hAnsi="Arial"/>
                <w:color w:val="000000"/>
                <w:sz w:val="16"/>
              </w:rPr>
              <w:t>ahce.org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6D8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 25.000.000.</w:t>
            </w:r>
            <w:r>
              <w:rPr>
                <w:i w:val="0"/>
                <w:color w:val="auto"/>
                <w:lang w:val="tr-TR"/>
              </w:rPr>
              <w:t>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25.000.000.-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25.000.000.-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25.000.000.-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6D8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 MARKET</w:t>
            </w:r>
          </w:p>
        </w:tc>
      </w:tr>
    </w:tbl>
    <w:p w:rsidR="00000000" w:rsidRDefault="001076D8">
      <w:pPr>
        <w:pStyle w:val="BodyText"/>
        <w:rPr>
          <w:lang w:val="tr-TR"/>
        </w:rPr>
      </w:pPr>
    </w:p>
    <w:p w:rsidR="00000000" w:rsidRDefault="001076D8">
      <w:pPr>
        <w:rPr>
          <w:rFonts w:ascii="Arial" w:hAnsi="Arial"/>
          <w:sz w:val="16"/>
        </w:rPr>
      </w:pPr>
    </w:p>
    <w:p w:rsidR="00000000" w:rsidRDefault="001076D8">
      <w:pPr>
        <w:rPr>
          <w:rFonts w:ascii="Arial" w:hAnsi="Arial"/>
          <w:sz w:val="16"/>
        </w:rPr>
      </w:pPr>
    </w:p>
    <w:p w:rsidR="00000000" w:rsidRDefault="001076D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1076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Şirket’in son iki yılda elde ettiği gelirlerin</w:t>
            </w:r>
            <w:r>
              <w:rPr>
                <w:rFonts w:ascii="Arial" w:hAnsi="Arial"/>
                <w:sz w:val="16"/>
              </w:rPr>
              <w:t xml:space="preserve"> detayı aşağıdadır.</w:t>
            </w:r>
          </w:p>
        </w:tc>
        <w:tc>
          <w:tcPr>
            <w:tcW w:w="1121" w:type="dxa"/>
          </w:tcPr>
          <w:p w:rsidR="00000000" w:rsidRDefault="001076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1076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1076D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1108"/>
        <w:gridCol w:w="1585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1076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Gelirler /Incomes </w:t>
            </w:r>
          </w:p>
          <w:p w:rsidR="00000000" w:rsidRDefault="001076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6" w:type="dxa"/>
          </w:tcPr>
          <w:p w:rsidR="00000000" w:rsidRDefault="001076D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28.02.2008</w:t>
            </w:r>
          </w:p>
          <w:p w:rsidR="00000000" w:rsidRDefault="001076D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(9 Aylık)</w:t>
            </w:r>
          </w:p>
        </w:tc>
        <w:tc>
          <w:tcPr>
            <w:tcW w:w="1108" w:type="dxa"/>
          </w:tcPr>
          <w:p w:rsidR="00000000" w:rsidRDefault="001076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1076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85" w:type="dxa"/>
          </w:tcPr>
          <w:p w:rsidR="00000000" w:rsidRDefault="001076D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29.02.2007</w:t>
            </w:r>
          </w:p>
          <w:p w:rsidR="00000000" w:rsidRDefault="001076D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(9 Aylık)</w:t>
            </w:r>
          </w:p>
        </w:tc>
        <w:tc>
          <w:tcPr>
            <w:tcW w:w="1276" w:type="dxa"/>
          </w:tcPr>
          <w:p w:rsidR="00000000" w:rsidRDefault="001076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1076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1076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Süper Lig Yayın Gelirleri</w:t>
            </w:r>
          </w:p>
        </w:tc>
        <w:tc>
          <w:tcPr>
            <w:tcW w:w="1276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14.071.799</w:t>
            </w:r>
          </w:p>
        </w:tc>
        <w:tc>
          <w:tcPr>
            <w:tcW w:w="1108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</w:t>
            </w:r>
          </w:p>
        </w:tc>
        <w:tc>
          <w:tcPr>
            <w:tcW w:w="1585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9.427.114</w:t>
            </w:r>
          </w:p>
        </w:tc>
        <w:tc>
          <w:tcPr>
            <w:tcW w:w="1276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1076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Stady</w:t>
            </w:r>
            <w:r>
              <w:rPr>
                <w:rFonts w:ascii="Arial" w:hAnsi="Arial"/>
                <w:sz w:val="16"/>
              </w:rPr>
              <w:t>um Gelirleri</w:t>
            </w:r>
          </w:p>
        </w:tc>
        <w:tc>
          <w:tcPr>
            <w:tcW w:w="1276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6.078.241</w:t>
            </w:r>
          </w:p>
        </w:tc>
        <w:tc>
          <w:tcPr>
            <w:tcW w:w="1108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  <w:tc>
          <w:tcPr>
            <w:tcW w:w="1585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6.163.263</w:t>
            </w:r>
          </w:p>
        </w:tc>
        <w:tc>
          <w:tcPr>
            <w:tcW w:w="1276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1076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Medya ve Reklam Gelirleri </w:t>
            </w:r>
          </w:p>
        </w:tc>
        <w:tc>
          <w:tcPr>
            <w:tcW w:w="1276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5.586.179</w:t>
            </w:r>
          </w:p>
        </w:tc>
        <w:tc>
          <w:tcPr>
            <w:tcW w:w="1108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  <w:tc>
          <w:tcPr>
            <w:tcW w:w="1585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4.762.082</w:t>
            </w:r>
          </w:p>
        </w:tc>
        <w:tc>
          <w:tcPr>
            <w:tcW w:w="1276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1076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İsim Hakkı ile İlgili Gelirler</w:t>
            </w:r>
          </w:p>
        </w:tc>
        <w:tc>
          <w:tcPr>
            <w:tcW w:w="1276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4.316.217</w:t>
            </w:r>
          </w:p>
        </w:tc>
        <w:tc>
          <w:tcPr>
            <w:tcW w:w="1108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  <w:tc>
          <w:tcPr>
            <w:tcW w:w="1585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3.851.279</w:t>
            </w:r>
          </w:p>
        </w:tc>
        <w:tc>
          <w:tcPr>
            <w:tcW w:w="1276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1076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Performans Gelirleri</w:t>
            </w:r>
          </w:p>
        </w:tc>
        <w:tc>
          <w:tcPr>
            <w:tcW w:w="1276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2.924.999</w:t>
            </w:r>
          </w:p>
        </w:tc>
        <w:tc>
          <w:tcPr>
            <w:tcW w:w="1108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  <w:tc>
          <w:tcPr>
            <w:tcW w:w="1585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276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1076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Gelirler</w:t>
            </w:r>
          </w:p>
        </w:tc>
        <w:tc>
          <w:tcPr>
            <w:tcW w:w="1276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08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85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3.597.918</w:t>
            </w:r>
          </w:p>
        </w:tc>
        <w:tc>
          <w:tcPr>
            <w:tcW w:w="1276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1076D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</w:t>
            </w:r>
            <w:r>
              <w:rPr>
                <w:rFonts w:ascii="Arial" w:hAnsi="Arial"/>
                <w:b/>
                <w:sz w:val="16"/>
              </w:rPr>
              <w:t>plam</w:t>
            </w:r>
          </w:p>
        </w:tc>
        <w:tc>
          <w:tcPr>
            <w:tcW w:w="1276" w:type="dxa"/>
          </w:tcPr>
          <w:p w:rsidR="00000000" w:rsidRDefault="001076D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32.977.435</w:t>
            </w:r>
          </w:p>
        </w:tc>
        <w:tc>
          <w:tcPr>
            <w:tcW w:w="1108" w:type="dxa"/>
          </w:tcPr>
          <w:p w:rsidR="00000000" w:rsidRDefault="001076D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85" w:type="dxa"/>
          </w:tcPr>
          <w:p w:rsidR="00000000" w:rsidRDefault="001076D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</w:tcPr>
          <w:p w:rsidR="00000000" w:rsidRDefault="001076D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1076D8">
      <w:pPr>
        <w:rPr>
          <w:rFonts w:ascii="Arial" w:hAnsi="Arial"/>
          <w:sz w:val="16"/>
        </w:rPr>
      </w:pPr>
    </w:p>
    <w:p w:rsidR="00000000" w:rsidRDefault="001076D8">
      <w:pPr>
        <w:rPr>
          <w:rFonts w:ascii="Arial" w:hAnsi="Arial"/>
          <w:sz w:val="16"/>
        </w:rPr>
      </w:pPr>
    </w:p>
    <w:p w:rsidR="00000000" w:rsidRDefault="001076D8">
      <w:pPr>
        <w:rPr>
          <w:rFonts w:ascii="Arial" w:hAnsi="Arial"/>
          <w:sz w:val="16"/>
        </w:rPr>
      </w:pPr>
    </w:p>
    <w:p w:rsidR="00000000" w:rsidRDefault="001076D8">
      <w:pPr>
        <w:rPr>
          <w:rFonts w:ascii="Arial" w:hAnsi="Arial"/>
          <w:sz w:val="16"/>
        </w:rPr>
      </w:pPr>
    </w:p>
    <w:p w:rsidR="00000000" w:rsidRDefault="001076D8">
      <w:pPr>
        <w:rPr>
          <w:rFonts w:ascii="Arial" w:hAnsi="Arial"/>
          <w:sz w:val="16"/>
        </w:rPr>
      </w:pPr>
    </w:p>
    <w:p w:rsidR="00000000" w:rsidRDefault="001076D8">
      <w:pPr>
        <w:rPr>
          <w:rFonts w:ascii="Arial" w:hAnsi="Arial"/>
          <w:sz w:val="16"/>
        </w:rPr>
      </w:pPr>
    </w:p>
    <w:p w:rsidR="00000000" w:rsidRDefault="001076D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1076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oluşan giderlerinin detayı aşağıdadır.</w:t>
            </w:r>
          </w:p>
        </w:tc>
        <w:tc>
          <w:tcPr>
            <w:tcW w:w="1121" w:type="dxa"/>
          </w:tcPr>
          <w:p w:rsidR="00000000" w:rsidRDefault="001076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1076D8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1076D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7"/>
        <w:gridCol w:w="1274"/>
        <w:gridCol w:w="1134"/>
        <w:gridCol w:w="1561"/>
        <w:gridCol w:w="12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1076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Giderler  / </w:t>
            </w:r>
          </w:p>
          <w:p w:rsidR="00000000" w:rsidRDefault="001076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4" w:type="dxa"/>
          </w:tcPr>
          <w:p w:rsidR="00000000" w:rsidRDefault="001076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134" w:type="dxa"/>
          </w:tcPr>
          <w:p w:rsidR="00000000" w:rsidRDefault="001076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1076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1" w:type="dxa"/>
          </w:tcPr>
          <w:p w:rsidR="00000000" w:rsidRDefault="001076D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1274" w:type="dxa"/>
          </w:tcPr>
          <w:p w:rsidR="00000000" w:rsidRDefault="001076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1076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1076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Kira Gideri</w:t>
            </w:r>
          </w:p>
          <w:p w:rsidR="00000000" w:rsidRDefault="001076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Stad Kira Gideri</w:t>
            </w:r>
          </w:p>
        </w:tc>
        <w:tc>
          <w:tcPr>
            <w:tcW w:w="1274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479.646</w:t>
            </w:r>
          </w:p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170.966</w:t>
            </w:r>
          </w:p>
        </w:tc>
        <w:tc>
          <w:tcPr>
            <w:tcW w:w="1134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  <w:tc>
          <w:tcPr>
            <w:tcW w:w="1561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635.916</w:t>
            </w:r>
          </w:p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144.502</w:t>
            </w:r>
          </w:p>
        </w:tc>
        <w:tc>
          <w:tcPr>
            <w:tcW w:w="1274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1076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Lisans </w:t>
            </w:r>
            <w:r>
              <w:rPr>
                <w:rFonts w:ascii="Arial" w:hAnsi="Arial"/>
                <w:sz w:val="16"/>
              </w:rPr>
              <w:t>Giderleri</w:t>
            </w:r>
          </w:p>
        </w:tc>
        <w:tc>
          <w:tcPr>
            <w:tcW w:w="1274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654.738</w:t>
            </w:r>
          </w:p>
        </w:tc>
        <w:tc>
          <w:tcPr>
            <w:tcW w:w="1134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  <w:tc>
          <w:tcPr>
            <w:tcW w:w="1561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553.390</w:t>
            </w:r>
          </w:p>
        </w:tc>
        <w:tc>
          <w:tcPr>
            <w:tcW w:w="1274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1076D8">
            <w:pPr>
              <w:pStyle w:val="BodyText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Genel Yönetim Giderleri</w:t>
            </w:r>
          </w:p>
        </w:tc>
        <w:tc>
          <w:tcPr>
            <w:tcW w:w="1274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2.607.077</w:t>
            </w:r>
          </w:p>
        </w:tc>
        <w:tc>
          <w:tcPr>
            <w:tcW w:w="1134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0,61</w:t>
            </w:r>
          </w:p>
        </w:tc>
        <w:tc>
          <w:tcPr>
            <w:tcW w:w="1561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2.142.763</w:t>
            </w:r>
          </w:p>
        </w:tc>
        <w:tc>
          <w:tcPr>
            <w:tcW w:w="1274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1076D8">
            <w:pPr>
              <w:pStyle w:val="BodyText3"/>
              <w:rPr>
                <w:sz w:val="16"/>
                <w:lang w:val="en-AU"/>
              </w:rPr>
            </w:pPr>
            <w:r>
              <w:rPr>
                <w:color w:val="auto"/>
                <w:sz w:val="16"/>
              </w:rPr>
              <w:t>Diğer Giderler</w:t>
            </w:r>
          </w:p>
        </w:tc>
        <w:tc>
          <w:tcPr>
            <w:tcW w:w="1274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353925</w:t>
            </w:r>
          </w:p>
        </w:tc>
        <w:tc>
          <w:tcPr>
            <w:tcW w:w="1134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  <w:tc>
          <w:tcPr>
            <w:tcW w:w="1561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128.902</w:t>
            </w:r>
          </w:p>
        </w:tc>
        <w:tc>
          <w:tcPr>
            <w:tcW w:w="1274" w:type="dxa"/>
          </w:tcPr>
          <w:p w:rsidR="00000000" w:rsidRDefault="001076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1076D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4" w:type="dxa"/>
          </w:tcPr>
          <w:p w:rsidR="00000000" w:rsidRDefault="001076D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34" w:type="dxa"/>
          </w:tcPr>
          <w:p w:rsidR="00000000" w:rsidRDefault="001076D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61" w:type="dxa"/>
          </w:tcPr>
          <w:p w:rsidR="00000000" w:rsidRDefault="001076D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4" w:type="dxa"/>
          </w:tcPr>
          <w:p w:rsidR="00000000" w:rsidRDefault="001076D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1076D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076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076D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076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</w:t>
            </w:r>
            <w:r>
              <w:rPr>
                <w:rFonts w:ascii="Arial" w:hAnsi="Arial"/>
                <w:i/>
                <w:sz w:val="16"/>
              </w:rPr>
              <w:t>ents and projects of the Company’s are given below.</w:t>
            </w:r>
          </w:p>
        </w:tc>
      </w:tr>
    </w:tbl>
    <w:p w:rsidR="00000000" w:rsidRDefault="001076D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076D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076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076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076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076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076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076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076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076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076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076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076D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1076D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076D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076D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076D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1076D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076D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076D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076D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1076D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076D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076D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076D8">
      <w:pPr>
        <w:rPr>
          <w:rFonts w:ascii="Arial" w:hAnsi="Arial"/>
          <w:sz w:val="16"/>
        </w:rPr>
      </w:pPr>
    </w:p>
    <w:p w:rsidR="00000000" w:rsidRDefault="001076D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76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076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76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076D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076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076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76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076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076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1076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076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1076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076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076D8">
      <w:pPr>
        <w:rPr>
          <w:rFonts w:ascii="Arial" w:hAnsi="Arial"/>
          <w:color w:val="FF0000"/>
          <w:sz w:val="16"/>
        </w:rPr>
      </w:pPr>
    </w:p>
    <w:p w:rsidR="00000000" w:rsidRDefault="001076D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76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076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76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076D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076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</w:t>
            </w:r>
            <w:r>
              <w:rPr>
                <w:rFonts w:ascii="Arial" w:hAnsi="Arial"/>
                <w:b/>
                <w:color w:val="000000"/>
                <w:sz w:val="16"/>
              </w:rPr>
              <w:t>r (YTL)</w:t>
            </w:r>
          </w:p>
        </w:tc>
        <w:tc>
          <w:tcPr>
            <w:tcW w:w="2410" w:type="dxa"/>
          </w:tcPr>
          <w:p w:rsidR="00000000" w:rsidRDefault="001076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76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076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076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076D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FENERBAHÇE SPOR KULÜBÜ</w:t>
            </w:r>
          </w:p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ORTAKLAR(HALKA AÇIK KISIM)</w:t>
            </w:r>
          </w:p>
        </w:tc>
        <w:tc>
          <w:tcPr>
            <w:tcW w:w="1892" w:type="dxa"/>
          </w:tcPr>
          <w:p w:rsidR="00000000" w:rsidRDefault="001076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21.250.000,00</w:t>
            </w:r>
          </w:p>
          <w:p w:rsidR="00000000" w:rsidRDefault="001076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3.750.000,00</w:t>
            </w:r>
          </w:p>
          <w:p w:rsidR="00000000" w:rsidRDefault="001076D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076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85.00</w:t>
            </w:r>
          </w:p>
          <w:p w:rsidR="00000000" w:rsidRDefault="001076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  <w:p w:rsidR="00000000" w:rsidRDefault="001076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76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1076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25.000.000,00</w:t>
            </w:r>
          </w:p>
        </w:tc>
        <w:tc>
          <w:tcPr>
            <w:tcW w:w="2410" w:type="dxa"/>
          </w:tcPr>
          <w:p w:rsidR="00000000" w:rsidRDefault="001076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076D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076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076D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076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76D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076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076D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1076D8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74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76D8"/>
    <w:rsid w:val="0010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BED26-E69D-41CA-8C7D-747DC3A7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bsportif@fenerbahc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5325</CharactersWithSpaces>
  <SharedDoc>false</SharedDoc>
  <HLinks>
    <vt:vector size="6" baseType="variant">
      <vt:variant>
        <vt:i4>3014659</vt:i4>
      </vt:variant>
      <vt:variant>
        <vt:i4>0</vt:i4>
      </vt:variant>
      <vt:variant>
        <vt:i4>0</vt:i4>
      </vt:variant>
      <vt:variant>
        <vt:i4>5</vt:i4>
      </vt:variant>
      <vt:variant>
        <vt:lpwstr>mailto:fbsportif@fenerbahce.org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2008-04-15T19:42:00Z</cp:lastPrinted>
  <dcterms:created xsi:type="dcterms:W3CDTF">2022-09-01T21:38:00Z</dcterms:created>
  <dcterms:modified xsi:type="dcterms:W3CDTF">2022-09-01T21:38:00Z</dcterms:modified>
</cp:coreProperties>
</file>