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006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YATIRIM HOLDİNG A.Ş.</w:t>
            </w:r>
          </w:p>
        </w:tc>
      </w:tr>
    </w:tbl>
    <w:p w:rsidR="00000000" w:rsidRDefault="005B006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01/06/1990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Şirket’in finans, enerji, altyapı, ve ulaştırma işletmeciliği alanında kurulmuş veya kurulacak olan şirketlerin sermaye ve yönetimine katılarak bunların</w:t>
            </w:r>
            <w:r>
              <w:rPr>
                <w:rFonts w:ascii="Arial" w:hAnsi="Arial"/>
                <w:sz w:val="16"/>
              </w:rPr>
              <w:t xml:space="preserve"> yatırım, finansman, organizasyon ve yönetim meselelerini toplu bir bünye içerisinde ekonomik dalgalanmalara karşı yatırım güvenliğini arttırmak ve böylece bu şirketlerin sağlıklı şekilde ve milli ekonominin gereklerine uygun olarak gelişmelerini ve devaml</w:t>
            </w:r>
            <w:r>
              <w:rPr>
                <w:rFonts w:ascii="Arial" w:hAnsi="Arial"/>
                <w:sz w:val="16"/>
              </w:rPr>
              <w:t>ılıklarını teminat altına almak ve bu amaca uygun ticari, sınai ve mali girişimlerde bulunmaktır.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RIHTIM CAD. NO:51 KARAKÖY/İSTANBUL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 –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GREGORY MICHAEL KIEZ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TREVOR TR</w:t>
            </w:r>
            <w:r>
              <w:rPr>
                <w:rFonts w:ascii="Arial" w:hAnsi="Arial"/>
                <w:color w:val="000000"/>
                <w:sz w:val="16"/>
              </w:rPr>
              <w:t>AFGARNE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LANDON THOMAS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TIMOTHY SKERMAN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0212 244 61 61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GLOBAL@GLOBAL.COM.TR</w:t>
              </w:r>
            </w:hyperlink>
            <w:r>
              <w:rPr>
                <w:rFonts w:ascii="Arial" w:hAnsi="Arial"/>
                <w:sz w:val="16"/>
              </w:rPr>
              <w:t>; INVESTOR@GLOBAL.COM.TR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 (Altmış İki)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</w:t>
            </w:r>
            <w:r>
              <w:rPr>
                <w:rFonts w:ascii="Arial" w:hAnsi="Arial"/>
                <w:b/>
                <w:color w:val="000000"/>
                <w:sz w:val="16"/>
              </w:rPr>
              <w:t>N SENDİKASI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pStyle w:val="Heading1"/>
            </w:pPr>
            <w:r>
              <w:rPr>
                <w:i w:val="0"/>
                <w:color w:val="auto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B0069">
      <w:pPr>
        <w:rPr>
          <w:rFonts w:ascii="Arial" w:hAnsi="Arial"/>
          <w:sz w:val="18"/>
        </w:rPr>
      </w:pPr>
    </w:p>
    <w:p w:rsidR="00000000" w:rsidRDefault="005B0069">
      <w:pPr>
        <w:rPr>
          <w:rFonts w:ascii="Arial" w:hAnsi="Arial"/>
          <w:sz w:val="18"/>
        </w:rPr>
      </w:pPr>
    </w:p>
    <w:p w:rsidR="00000000" w:rsidRDefault="005B0069">
      <w:pPr>
        <w:rPr>
          <w:rFonts w:ascii="Arial" w:hAnsi="Arial"/>
          <w:sz w:val="18"/>
        </w:rPr>
      </w:pPr>
    </w:p>
    <w:p w:rsidR="00000000" w:rsidRDefault="005B0069">
      <w:pPr>
        <w:rPr>
          <w:rFonts w:ascii="Arial" w:hAnsi="Arial"/>
          <w:sz w:val="18"/>
        </w:rPr>
      </w:pPr>
    </w:p>
    <w:p w:rsidR="00000000" w:rsidRDefault="005B0069">
      <w:pPr>
        <w:rPr>
          <w:rFonts w:ascii="Arial" w:hAnsi="Arial"/>
          <w:sz w:val="18"/>
        </w:rPr>
      </w:pPr>
    </w:p>
    <w:p w:rsidR="00000000" w:rsidRDefault="005B0069">
      <w:pPr>
        <w:rPr>
          <w:rFonts w:ascii="Arial" w:hAnsi="Arial"/>
          <w:sz w:val="18"/>
        </w:rPr>
      </w:pPr>
    </w:p>
    <w:p w:rsidR="00000000" w:rsidRDefault="005B006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B00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</w:t>
            </w:r>
            <w:r>
              <w:rPr>
                <w:rFonts w:ascii="Arial" w:hAnsi="Arial"/>
                <w:sz w:val="16"/>
              </w:rPr>
              <w:t>ilişkin iştirak gelirleri aşağıda gösterilmiştir.</w:t>
            </w:r>
          </w:p>
        </w:tc>
        <w:tc>
          <w:tcPr>
            <w:tcW w:w="1223" w:type="dxa"/>
          </w:tcPr>
          <w:p w:rsidR="00000000" w:rsidRDefault="005B00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B00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B00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B00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5B00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B0069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5B00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B00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2007*</w:t>
            </w:r>
          </w:p>
        </w:tc>
        <w:tc>
          <w:tcPr>
            <w:tcW w:w="3119" w:type="dxa"/>
          </w:tcPr>
          <w:p w:rsidR="00000000" w:rsidRDefault="005B006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994.</w:t>
            </w:r>
            <w:r>
              <w:rPr>
                <w:rFonts w:ascii="Arial" w:hAnsi="Arial"/>
                <w:sz w:val="16"/>
              </w:rPr>
              <w:t>225.-YTL</w:t>
            </w:r>
          </w:p>
        </w:tc>
        <w:tc>
          <w:tcPr>
            <w:tcW w:w="3543" w:type="dxa"/>
          </w:tcPr>
          <w:p w:rsidR="00000000" w:rsidRDefault="005B006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B00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2006*</w:t>
            </w:r>
          </w:p>
        </w:tc>
        <w:tc>
          <w:tcPr>
            <w:tcW w:w="3119" w:type="dxa"/>
          </w:tcPr>
          <w:p w:rsidR="00000000" w:rsidRDefault="005B006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45.038.-YTL </w:t>
            </w:r>
          </w:p>
        </w:tc>
        <w:tc>
          <w:tcPr>
            <w:tcW w:w="3543" w:type="dxa"/>
          </w:tcPr>
          <w:p w:rsidR="00000000" w:rsidRDefault="005B006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%0,22</w:t>
            </w:r>
          </w:p>
        </w:tc>
      </w:tr>
    </w:tbl>
    <w:p w:rsidR="00000000" w:rsidRDefault="005B0069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* İştirak gelirleri konsolidasyon kapsamında eliminasyona tabi tutulamayan iştiraklerden elde edilmiştir.  </w:t>
      </w:r>
    </w:p>
    <w:p w:rsidR="00000000" w:rsidRDefault="005B0069">
      <w:pPr>
        <w:rPr>
          <w:rFonts w:ascii="Arial" w:hAnsi="Arial"/>
          <w:sz w:val="16"/>
        </w:rPr>
      </w:pPr>
    </w:p>
    <w:p w:rsidR="00000000" w:rsidRDefault="005B0069">
      <w:pPr>
        <w:rPr>
          <w:rFonts w:ascii="Arial" w:hAnsi="Arial"/>
          <w:sz w:val="16"/>
        </w:rPr>
      </w:pPr>
    </w:p>
    <w:p w:rsidR="00000000" w:rsidRDefault="005B0069">
      <w:pPr>
        <w:rPr>
          <w:rFonts w:ascii="Arial" w:hAnsi="Arial"/>
          <w:sz w:val="18"/>
        </w:rPr>
      </w:pPr>
    </w:p>
    <w:p w:rsidR="00000000" w:rsidRDefault="005B006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00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00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00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5B006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00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B00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00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B00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 GAYRIMENKUL YATIRIM ORTAKLIĞI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</w:t>
            </w:r>
            <w:r>
              <w:rPr>
                <w:rFonts w:ascii="Arial" w:hAnsi="Arial"/>
                <w:sz w:val="16"/>
              </w:rPr>
              <w:t>BAL MENKUL DEĞERLER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GLOBAL PORTFÖY YÖNETİMİ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VALORI MOBILIARE S.A.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21.884.600.000.-LEVA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FINANCIAL PRODUCT LTD.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937.500.-USD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SİGORTA ARACILIK HİZMETLERİ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BAKU BORSASI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1.242.000.-USD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MENKUL DEĞERLER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TORBA İNŞAAT VE TURİZM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ENERJİ YATIRIM HOLDİNG 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ALTYAPI HİZMETLERİ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SOFYA BORSASI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.203.000.-LEVA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YEŞİL ENERJİ ÜRETİM SAN.TİC.A.Ş.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GLOBAL MADENCİLİK SAN.TİC.A.Ş.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NESA MADENCİLİK SAN.TİC.A.Ş.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GY ELYAF VE İPLİK SAN.TİC.A.Ş.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MAVİ BAYRAK TEHLİKELİ A</w:t>
            </w:r>
            <w:r>
              <w:rPr>
                <w:rFonts w:ascii="Arial" w:hAnsi="Arial"/>
                <w:sz w:val="16"/>
              </w:rPr>
              <w:t>TIK İMHA SİSTEMLERİ SAN.TİC.A.Ş.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BİLECİK DEMİR ÇELİK SAN.VE TİC.A.Ş.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BOĞAZİÇİ HOLDİNG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KUŞADASI TURİZM 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KUZEY MADEN İŞLETMELERİ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MADE</w:t>
            </w:r>
            <w:r>
              <w:rPr>
                <w:rFonts w:ascii="Arial" w:hAnsi="Arial"/>
                <w:sz w:val="16"/>
              </w:rPr>
              <w:t>N İŞLETMELERİ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MADEN İŞLETMELERİ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GLOBAL ENERJİ HİZMETLERİ VE 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00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TORA YAYINCILIK A.Ş.</w:t>
            </w:r>
          </w:p>
        </w:tc>
        <w:tc>
          <w:tcPr>
            <w:tcW w:w="2304" w:type="dxa"/>
          </w:tcPr>
          <w:p w:rsidR="00000000" w:rsidRDefault="005B00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2.000.000.-YTL</w:t>
            </w:r>
          </w:p>
        </w:tc>
        <w:tc>
          <w:tcPr>
            <w:tcW w:w="2342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96,00</w:t>
            </w:r>
          </w:p>
        </w:tc>
      </w:tr>
    </w:tbl>
    <w:p w:rsidR="00000000" w:rsidRDefault="005B0069">
      <w:pPr>
        <w:rPr>
          <w:rFonts w:ascii="Arial" w:hAnsi="Arial"/>
          <w:color w:val="FF0000"/>
          <w:sz w:val="16"/>
        </w:rPr>
      </w:pPr>
    </w:p>
    <w:p w:rsidR="00000000" w:rsidRDefault="005B006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00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00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00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006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00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B00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00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00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B00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B006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  <w:tc>
          <w:tcPr>
            <w:tcW w:w="1892" w:type="dxa"/>
          </w:tcPr>
          <w:p w:rsidR="00000000" w:rsidRDefault="005B0069">
            <w:pPr>
              <w:jc w:val="center"/>
              <w:rPr>
                <w:rFonts w:ascii="Times New Roman TUR" w:hAnsi="Times New Roman TUR"/>
                <w:i/>
                <w:sz w:val="16"/>
              </w:rPr>
            </w:pPr>
            <w:r>
              <w:rPr>
                <w:rFonts w:ascii="Times New Roman TUR" w:hAnsi="Times New Roman TUR"/>
                <w:i/>
                <w:sz w:val="16"/>
              </w:rPr>
              <w:t>3.370.695</w:t>
            </w:r>
          </w:p>
        </w:tc>
        <w:tc>
          <w:tcPr>
            <w:tcW w:w="2410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  <w:tc>
          <w:tcPr>
            <w:tcW w:w="1892" w:type="dxa"/>
          </w:tcPr>
          <w:p w:rsidR="00000000" w:rsidRDefault="005B0069">
            <w:pPr>
              <w:jc w:val="center"/>
              <w:rPr>
                <w:rFonts w:ascii="Times New Roman TUR" w:hAnsi="Times New Roman TUR"/>
                <w:i/>
                <w:sz w:val="16"/>
              </w:rPr>
            </w:pPr>
            <w:r>
              <w:rPr>
                <w:rFonts w:ascii="Times New Roman TUR" w:hAnsi="Times New Roman TUR"/>
                <w:i/>
                <w:sz w:val="16"/>
              </w:rPr>
              <w:t>13.707</w:t>
            </w:r>
          </w:p>
        </w:tc>
        <w:tc>
          <w:tcPr>
            <w:tcW w:w="2410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YATIRIM HO</w:t>
            </w:r>
            <w:r>
              <w:rPr>
                <w:rFonts w:ascii="Arial" w:hAnsi="Arial"/>
                <w:color w:val="000000"/>
                <w:sz w:val="16"/>
              </w:rPr>
              <w:t>LDİNG A.Ş.</w:t>
            </w:r>
          </w:p>
        </w:tc>
        <w:tc>
          <w:tcPr>
            <w:tcW w:w="1892" w:type="dxa"/>
          </w:tcPr>
          <w:p w:rsidR="00000000" w:rsidRDefault="005B0069">
            <w:pPr>
              <w:jc w:val="center"/>
              <w:rPr>
                <w:rFonts w:ascii="Times New Roman TUR" w:hAnsi="Times New Roman TUR"/>
                <w:i/>
                <w:sz w:val="16"/>
              </w:rPr>
            </w:pPr>
            <w:r>
              <w:rPr>
                <w:rFonts w:ascii="Times New Roman TUR" w:hAnsi="Times New Roman TUR"/>
                <w:i/>
                <w:sz w:val="16"/>
              </w:rPr>
              <w:t>32.961.204</w:t>
            </w:r>
          </w:p>
        </w:tc>
        <w:tc>
          <w:tcPr>
            <w:tcW w:w="2410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006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00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B00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188.654.594</w:t>
            </w:r>
          </w:p>
        </w:tc>
        <w:tc>
          <w:tcPr>
            <w:tcW w:w="2410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00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B00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225.000.000</w:t>
            </w:r>
          </w:p>
        </w:tc>
        <w:tc>
          <w:tcPr>
            <w:tcW w:w="2410" w:type="dxa"/>
          </w:tcPr>
          <w:p w:rsidR="00000000" w:rsidRDefault="005B006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5B006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0069"/>
    <w:rsid w:val="005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3F51-2BD8-40ED-B3A7-A2925160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LOBAL@GLOBA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4182</CharactersWithSpaces>
  <SharedDoc>false</SharedDoc>
  <HLinks>
    <vt:vector size="6" baseType="variant">
      <vt:variant>
        <vt:i4>5439534</vt:i4>
      </vt:variant>
      <vt:variant>
        <vt:i4>0</vt:i4>
      </vt:variant>
      <vt:variant>
        <vt:i4>0</vt:i4>
      </vt:variant>
      <vt:variant>
        <vt:i4>5</vt:i4>
      </vt:variant>
      <vt:variant>
        <vt:lpwstr>mailto:GLOBAL@GLOBAL.COM.TR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2008-04-21T14:14:00Z</cp:lastPrinted>
  <dcterms:created xsi:type="dcterms:W3CDTF">2022-09-01T21:38:00Z</dcterms:created>
  <dcterms:modified xsi:type="dcterms:W3CDTF">2022-09-01T21:38:00Z</dcterms:modified>
</cp:coreProperties>
</file>