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E529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GALATASARAY SPORTİF VE SINAİ VE TİCARİ YATIRIMLAR A.Ş.</w:t>
            </w:r>
          </w:p>
        </w:tc>
      </w:tr>
    </w:tbl>
    <w:p w:rsidR="00000000" w:rsidRDefault="003E529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26.11.1997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GALATASARAY MARKASININ YÖNETİM HAKLARINA SAHİP BİR ÖZEL MEDYA  PAZARLAMA ŞİRKETİDİR. GALATASARAY SPORTİF SINAİ VE TİCARİ YAT</w:t>
            </w:r>
            <w:r>
              <w:rPr>
                <w:rFonts w:ascii="Arial" w:hAnsi="Arial"/>
                <w:sz w:val="16"/>
              </w:rPr>
              <w:t>IRIMLAR A.Ş. GALATASARAY FUTBOL TAKIMI’NIN TÜM MEDYA YAYIN, REKLAM SPONSORLUK VE İSİM HAKLARINI YÖNETMEKTEDİR. GALATASARAY SPORTİF A.Ş. TÜRKİYE’NİN EN DEĞERLİ MARKASI GALATASARAY’IN EŞSİZ  KONUMUNDAN YARARLANIP ŞİRKET GELİRLERİNİ BÜYÜTMENİN YANISIRA SPONSO</w:t>
            </w:r>
            <w:r>
              <w:rPr>
                <w:rFonts w:ascii="Arial" w:hAnsi="Arial"/>
                <w:sz w:val="16"/>
              </w:rPr>
              <w:t>R FİRMALARA SAĞLANAN İMKANLARI VE MÜŞTERİ MEMNUNİYETİNİ ARTIRMAYI AMAÇLAMAKTADIR.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CADDESİ AKINCI BAYIRI SOKAK NO:8 K:5 </w:t>
            </w:r>
          </w:p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34394 MECİDİYEKÖY,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ÖMER KÜKNER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ÖZHAN CANAYDIN</w:t>
            </w:r>
          </w:p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POLAT</w:t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ab/>
              <w:t xml:space="preserve">    </w:t>
            </w:r>
          </w:p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ÖZYALÇIN</w:t>
            </w:r>
          </w:p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ATİLLA KINAY</w:t>
            </w:r>
          </w:p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FATİH GÖKŞEN</w:t>
            </w:r>
          </w:p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H.TUNCA HAZİNEDAROĞLU</w:t>
            </w:r>
          </w:p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HALDUN ÜSTÜNEL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0212 2744555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0212 2749636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</w:t>
            </w:r>
            <w:r>
              <w:rPr>
                <w:rFonts w:ascii="Arial" w:hAnsi="Arial"/>
                <w:b/>
                <w:color w:val="000000"/>
                <w:sz w:val="16"/>
              </w:rPr>
              <w:t>on)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2.035.000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3E529E">
      <w:pPr>
        <w:pStyle w:val="BodyText"/>
        <w:rPr>
          <w:lang w:val="tr-TR"/>
        </w:rPr>
      </w:pPr>
    </w:p>
    <w:p w:rsidR="00000000" w:rsidRDefault="003E529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3E52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3E52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3E52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3E529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29.02.2008 (9 Aylık)</w:t>
            </w:r>
          </w:p>
        </w:tc>
        <w:tc>
          <w:tcPr>
            <w:tcW w:w="1108" w:type="dxa"/>
          </w:tcPr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5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28.02.2007</w:t>
            </w:r>
          </w:p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(9 Aylık)</w:t>
            </w:r>
          </w:p>
        </w:tc>
        <w:tc>
          <w:tcPr>
            <w:tcW w:w="1276" w:type="dxa"/>
          </w:tcPr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ve Reklam Gelirleri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33,320,227</w:t>
            </w:r>
          </w:p>
        </w:tc>
        <w:tc>
          <w:tcPr>
            <w:tcW w:w="1108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585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34,995,934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5,264,791</w:t>
            </w:r>
          </w:p>
        </w:tc>
        <w:tc>
          <w:tcPr>
            <w:tcW w:w="1108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85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5,285,391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Performans Gelirleri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382,1</w:t>
            </w:r>
            <w:r>
              <w:rPr>
                <w:rFonts w:ascii="Arial" w:hAnsi="Arial"/>
                <w:sz w:val="16"/>
              </w:rPr>
              <w:t>09</w:t>
            </w:r>
          </w:p>
        </w:tc>
        <w:tc>
          <w:tcPr>
            <w:tcW w:w="1108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85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6,590,004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3E52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108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585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3E529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38,967,127</w:t>
            </w:r>
          </w:p>
        </w:tc>
        <w:tc>
          <w:tcPr>
            <w:tcW w:w="1108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85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46,871,329</w:t>
            </w:r>
          </w:p>
        </w:tc>
        <w:tc>
          <w:tcPr>
            <w:tcW w:w="1276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3E529E">
      <w:pPr>
        <w:rPr>
          <w:rFonts w:ascii="Arial" w:hAnsi="Arial"/>
          <w:sz w:val="16"/>
        </w:rPr>
      </w:pPr>
    </w:p>
    <w:p w:rsidR="00000000" w:rsidRDefault="003E529E">
      <w:pPr>
        <w:rPr>
          <w:rFonts w:ascii="Arial" w:hAnsi="Arial"/>
          <w:sz w:val="16"/>
        </w:rPr>
      </w:pPr>
    </w:p>
    <w:p w:rsidR="00000000" w:rsidRDefault="003E529E">
      <w:pPr>
        <w:rPr>
          <w:rFonts w:ascii="Arial" w:hAnsi="Arial"/>
          <w:sz w:val="16"/>
        </w:rPr>
      </w:pPr>
    </w:p>
    <w:p w:rsidR="00000000" w:rsidRDefault="003E529E">
      <w:pPr>
        <w:rPr>
          <w:rFonts w:ascii="Arial" w:hAnsi="Arial"/>
          <w:sz w:val="16"/>
        </w:rPr>
      </w:pPr>
    </w:p>
    <w:p w:rsidR="00000000" w:rsidRDefault="003E529E">
      <w:pPr>
        <w:rPr>
          <w:rFonts w:ascii="Arial" w:hAnsi="Arial"/>
          <w:sz w:val="16"/>
        </w:rPr>
      </w:pPr>
    </w:p>
    <w:p w:rsidR="00000000" w:rsidRDefault="003E529E">
      <w:pPr>
        <w:rPr>
          <w:rFonts w:ascii="Arial" w:hAnsi="Arial"/>
          <w:sz w:val="16"/>
        </w:rPr>
      </w:pPr>
    </w:p>
    <w:p w:rsidR="00000000" w:rsidRDefault="003E529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3E52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3E52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3E529E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3E529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Giderler  / </w:t>
            </w:r>
          </w:p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134" w:type="dxa"/>
          </w:tcPr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  <w:tc>
          <w:tcPr>
            <w:tcW w:w="1274" w:type="dxa"/>
          </w:tcPr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3E529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628,638</w:t>
            </w:r>
          </w:p>
        </w:tc>
        <w:tc>
          <w:tcPr>
            <w:tcW w:w="113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61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2,466,723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84,980</w:t>
            </w:r>
          </w:p>
        </w:tc>
        <w:tc>
          <w:tcPr>
            <w:tcW w:w="113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</w:t>
            </w:r>
          </w:p>
        </w:tc>
        <w:tc>
          <w:tcPr>
            <w:tcW w:w="1561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96,615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3E529E">
            <w:pPr>
              <w:pStyle w:val="BodyText3"/>
              <w:rPr>
                <w:sz w:val="16"/>
                <w:lang w:val="en-AU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5,371,451</w:t>
            </w:r>
          </w:p>
        </w:tc>
        <w:tc>
          <w:tcPr>
            <w:tcW w:w="113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561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3,748,545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3E529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6,085,069</w:t>
            </w:r>
          </w:p>
        </w:tc>
        <w:tc>
          <w:tcPr>
            <w:tcW w:w="1134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6,311,883</w:t>
            </w:r>
          </w:p>
        </w:tc>
        <w:tc>
          <w:tcPr>
            <w:tcW w:w="1274" w:type="dxa"/>
          </w:tcPr>
          <w:p w:rsidR="00000000" w:rsidRDefault="003E529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3E52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E52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E529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E52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</w:t>
            </w:r>
            <w:r>
              <w:rPr>
                <w:rFonts w:ascii="Arial" w:hAnsi="Arial"/>
                <w:i/>
                <w:sz w:val="16"/>
              </w:rPr>
              <w:t>s are given below.</w:t>
            </w:r>
          </w:p>
        </w:tc>
      </w:tr>
    </w:tbl>
    <w:p w:rsidR="00000000" w:rsidRDefault="003E529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52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E52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E52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E52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52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E529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3E529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214" w:type="dxa"/>
          </w:tcPr>
          <w:p w:rsidR="00000000" w:rsidRDefault="003E52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1843" w:type="dxa"/>
          </w:tcPr>
          <w:p w:rsidR="00000000" w:rsidRDefault="003E52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3E52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52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E52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52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E529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52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E52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E52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52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 Capital</w:t>
            </w:r>
          </w:p>
        </w:tc>
        <w:tc>
          <w:tcPr>
            <w:tcW w:w="2342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E52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  <w:tc>
          <w:tcPr>
            <w:tcW w:w="2304" w:type="dxa"/>
          </w:tcPr>
          <w:p w:rsidR="00000000" w:rsidRDefault="003E52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342" w:type="dxa"/>
          </w:tcPr>
          <w:p w:rsidR="00000000" w:rsidRDefault="003E52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</w:tbl>
    <w:p w:rsidR="00000000" w:rsidRDefault="003E529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E52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E52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E52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E52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52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E52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E52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E52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E52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E52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52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GALATASARAY FUTBOL A.Ş.</w:t>
            </w:r>
          </w:p>
        </w:tc>
        <w:tc>
          <w:tcPr>
            <w:tcW w:w="1892" w:type="dxa"/>
          </w:tcPr>
          <w:p w:rsidR="00000000" w:rsidRDefault="003E52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1,280,630</w:t>
            </w:r>
          </w:p>
        </w:tc>
        <w:tc>
          <w:tcPr>
            <w:tcW w:w="2410" w:type="dxa"/>
          </w:tcPr>
          <w:p w:rsidR="00000000" w:rsidRDefault="003E52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52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3E52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753,967</w:t>
            </w:r>
          </w:p>
        </w:tc>
        <w:tc>
          <w:tcPr>
            <w:tcW w:w="2410" w:type="dxa"/>
          </w:tcPr>
          <w:p w:rsidR="00000000" w:rsidRDefault="003E52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52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3E52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403</w:t>
            </w:r>
          </w:p>
        </w:tc>
        <w:tc>
          <w:tcPr>
            <w:tcW w:w="2410" w:type="dxa"/>
          </w:tcPr>
          <w:p w:rsidR="00000000" w:rsidRDefault="003E52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52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E52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3E52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E52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E52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2,035,000</w:t>
            </w:r>
          </w:p>
        </w:tc>
        <w:tc>
          <w:tcPr>
            <w:tcW w:w="2410" w:type="dxa"/>
          </w:tcPr>
          <w:p w:rsidR="00000000" w:rsidRDefault="003E52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E529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74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529E"/>
    <w:rsid w:val="003E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4E51C-544C-4224-B06B-541948A7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2008-04-18T20:55:00Z</cp:lastPrinted>
  <dcterms:created xsi:type="dcterms:W3CDTF">2022-09-01T21:38:00Z</dcterms:created>
  <dcterms:modified xsi:type="dcterms:W3CDTF">2022-09-01T21:38:00Z</dcterms:modified>
</cp:coreProperties>
</file>