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03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İŞ BANKASI A.Ş.</w:t>
            </w:r>
          </w:p>
        </w:tc>
      </w:tr>
    </w:tbl>
    <w:p w:rsidR="00000000" w:rsidRDefault="0096003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26.08.1924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BİREYSEL, KURUMSAL, TİCARİ VE ÖZEL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 GENEL MÜDÜRLÜK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</w:t>
            </w:r>
            <w:r>
              <w:rPr>
                <w:rFonts w:ascii="Arial" w:hAnsi="Arial"/>
                <w:color w:val="000000"/>
                <w:sz w:val="16"/>
              </w:rPr>
              <w:t>LELERİ 34330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AHMET KIRMAN 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M. BARAN TUNCER 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NAİL YAĞCI 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A. YAVUZ EGE 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AV. NAİL GÜRMAN 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EKBER GÜVENÇ 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BURKAN 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    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SAVAŞ TAŞKENT</w:t>
            </w:r>
          </w:p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  28.03.2008 TARİHİNDE YAPILAN OLAĞAN GENEL KURUL TOPLANTISINDA GÖREV  SÜRELERİ SONA EREN YÖNETİM KURULU ÜYELERİMİZİN YERİN</w:t>
            </w:r>
            <w:r>
              <w:rPr>
                <w:rFonts w:ascii="Arial" w:hAnsi="Arial"/>
                <w:color w:val="000000"/>
                <w:sz w:val="16"/>
              </w:rPr>
              <w:t>E, ALİ SÖZEN, İSMET ATALAY, ADNAN KESKİN, TUNCAY ERÇENK, H.FEVZİ ONAT, FÜSUN TÜMSAVAŞ VE TÜLİN AYKIN  SEÇİLMİŞTİR.</w:t>
            </w:r>
          </w:p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0 212 316 00 00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0 212 316 09 00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INVESTORRELATIONS@ISBANK.COM.TR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01.04.2006 – 31.03.2008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 BANKA –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</w:t>
            </w:r>
            <w:r>
              <w:rPr>
                <w:rFonts w:ascii="Arial" w:hAnsi="Arial"/>
                <w:color w:val="000000"/>
                <w:sz w:val="16"/>
              </w:rPr>
              <w:t>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t>(NONE)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7.000.000.000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2.756.585.000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600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6003D">
      <w:pPr>
        <w:rPr>
          <w:rFonts w:ascii="Arial" w:hAnsi="Arial"/>
          <w:sz w:val="16"/>
        </w:rPr>
      </w:pPr>
    </w:p>
    <w:p w:rsidR="00000000" w:rsidRDefault="0096003D">
      <w:pPr>
        <w:rPr>
          <w:rFonts w:ascii="Arial" w:hAnsi="Arial"/>
          <w:sz w:val="16"/>
        </w:rPr>
      </w:pPr>
    </w:p>
    <w:p w:rsidR="00000000" w:rsidRDefault="0096003D">
      <w:pPr>
        <w:rPr>
          <w:rFonts w:ascii="Arial" w:hAnsi="Arial"/>
          <w:sz w:val="16"/>
        </w:rPr>
      </w:pPr>
    </w:p>
    <w:p w:rsidR="00000000" w:rsidRDefault="009600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0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</w:t>
            </w:r>
            <w:r>
              <w:rPr>
                <w:rFonts w:ascii="Arial" w:hAnsi="Arial"/>
                <w:sz w:val="16"/>
              </w:rPr>
              <w:t>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9600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0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96003D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600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96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9600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96003D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  <w:p w:rsidR="00000000" w:rsidRDefault="009600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6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96003D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48.533.145.697</w:t>
            </w:r>
          </w:p>
        </w:tc>
        <w:tc>
          <w:tcPr>
            <w:tcW w:w="2977" w:type="dxa"/>
          </w:tcPr>
          <w:p w:rsidR="00000000" w:rsidRDefault="0096003D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33.979.840.616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60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  <w:vAlign w:val="center"/>
          </w:tcPr>
          <w:p w:rsidR="00000000" w:rsidRDefault="0096003D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46.399.355.299</w:t>
            </w:r>
          </w:p>
        </w:tc>
        <w:tc>
          <w:tcPr>
            <w:tcW w:w="2977" w:type="dxa"/>
            <w:vAlign w:val="center"/>
          </w:tcPr>
          <w:p w:rsidR="00000000" w:rsidRDefault="0096003D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29.818.316.189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600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96003D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96003D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6003D">
      <w:pPr>
        <w:rPr>
          <w:rFonts w:ascii="Arial" w:hAnsi="Arial"/>
          <w:sz w:val="16"/>
        </w:rPr>
      </w:pPr>
    </w:p>
    <w:p w:rsidR="00000000" w:rsidRDefault="0096003D">
      <w:pPr>
        <w:rPr>
          <w:rFonts w:ascii="Arial" w:hAnsi="Arial"/>
          <w:sz w:val="16"/>
        </w:rPr>
      </w:pPr>
    </w:p>
    <w:p w:rsidR="00000000" w:rsidRDefault="0096003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600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6003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600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96003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03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600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aşlangıç-Bitiş Tarihleri</w:t>
            </w:r>
          </w:p>
        </w:tc>
        <w:tc>
          <w:tcPr>
            <w:tcW w:w="2214" w:type="dxa"/>
          </w:tcPr>
          <w:p w:rsidR="00000000" w:rsidRDefault="009600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600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0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03D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İŞLEM ALTYAPI YATIRIMLARI</w:t>
            </w: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  <w:p w:rsidR="00000000" w:rsidRDefault="0096003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color w:val="000000"/>
                <w:sz w:val="16"/>
              </w:rPr>
              <w:t>INFORMATION TECHN</w:t>
            </w:r>
            <w:r>
              <w:rPr>
                <w:rFonts w:ascii="Arial" w:hAnsi="Arial"/>
                <w:color w:val="000000"/>
                <w:sz w:val="16"/>
              </w:rPr>
              <w:t>OLOGY INFRASTRUCTURE INVESTMENTS)</w:t>
            </w:r>
          </w:p>
        </w:tc>
        <w:tc>
          <w:tcPr>
            <w:tcW w:w="2043" w:type="dxa"/>
          </w:tcPr>
          <w:p w:rsidR="00000000" w:rsidRDefault="0096003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1.1.2007/31.12.2007</w:t>
            </w:r>
          </w:p>
        </w:tc>
        <w:tc>
          <w:tcPr>
            <w:tcW w:w="2214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84.500.000</w:t>
            </w:r>
          </w:p>
          <w:p w:rsidR="00000000" w:rsidRDefault="0096003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74.054.000</w:t>
            </w:r>
          </w:p>
          <w:p w:rsidR="00000000" w:rsidRDefault="0096003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MÜŞTERİ ODAKLI DÖNÜŞÜM PROGRAMI</w:t>
            </w:r>
          </w:p>
          <w:p w:rsidR="00000000" w:rsidRDefault="0096003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(CUSTOMER CENTRIC TRANSFORMATION PROGRAM)</w:t>
            </w:r>
          </w:p>
        </w:tc>
        <w:tc>
          <w:tcPr>
            <w:tcW w:w="2043" w:type="dxa"/>
          </w:tcPr>
          <w:p w:rsidR="00000000" w:rsidRDefault="0096003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1.1.2007/31.12.2007</w:t>
            </w:r>
          </w:p>
        </w:tc>
        <w:tc>
          <w:tcPr>
            <w:tcW w:w="2214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216.200.000</w:t>
            </w:r>
          </w:p>
          <w:p w:rsidR="00000000" w:rsidRDefault="0096003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50.095.000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MÜŞTERİ, SERMAYE PİYASALARI, YASAL RAPORLAMA AMAÇLI ALTYAP</w:t>
            </w:r>
            <w:r>
              <w:rPr>
                <w:rFonts w:ascii="Arial" w:hAnsi="Arial"/>
                <w:color w:val="000000"/>
                <w:sz w:val="16"/>
              </w:rPr>
              <w:t>I YAZILIMLARI</w:t>
            </w:r>
          </w:p>
          <w:p w:rsidR="00000000" w:rsidRDefault="0096003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(CUSTOMER, CAPITAL MARKETS, LEGAL REPORTING INTENTED INFRASTRUCTURE SOFTWARE)</w:t>
            </w:r>
          </w:p>
        </w:tc>
        <w:tc>
          <w:tcPr>
            <w:tcW w:w="2043" w:type="dxa"/>
          </w:tcPr>
          <w:p w:rsidR="00000000" w:rsidRDefault="0096003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1.1.2007/31.12.2007</w:t>
            </w:r>
          </w:p>
        </w:tc>
        <w:tc>
          <w:tcPr>
            <w:tcW w:w="2214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3.400.000</w:t>
            </w:r>
          </w:p>
          <w:p w:rsidR="00000000" w:rsidRDefault="0096003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YATIRIMLARI</w:t>
            </w:r>
          </w:p>
          <w:p w:rsidR="00000000" w:rsidRDefault="0096003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(PROPERTY INVESTMENTS)</w:t>
            </w:r>
          </w:p>
        </w:tc>
        <w:tc>
          <w:tcPr>
            <w:tcW w:w="2043" w:type="dxa"/>
          </w:tcPr>
          <w:p w:rsidR="00000000" w:rsidRDefault="0096003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1.1.2007/31.12.2007</w:t>
            </w:r>
          </w:p>
        </w:tc>
        <w:tc>
          <w:tcPr>
            <w:tcW w:w="2214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61.100.000</w:t>
            </w:r>
          </w:p>
          <w:p w:rsidR="00000000" w:rsidRDefault="0096003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60.960.000</w:t>
            </w:r>
          </w:p>
          <w:p w:rsidR="00000000" w:rsidRDefault="0096003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YATIRIMLARI</w:t>
            </w:r>
          </w:p>
          <w:p w:rsidR="00000000" w:rsidRDefault="0096003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(EQUIPMENT IN</w:t>
            </w:r>
            <w:r>
              <w:rPr>
                <w:rFonts w:ascii="Arial" w:hAnsi="Arial"/>
                <w:color w:val="000000"/>
                <w:sz w:val="16"/>
              </w:rPr>
              <w:t>VESTMENTS)</w:t>
            </w:r>
          </w:p>
        </w:tc>
        <w:tc>
          <w:tcPr>
            <w:tcW w:w="2043" w:type="dxa"/>
          </w:tcPr>
          <w:p w:rsidR="00000000" w:rsidRDefault="0096003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1.1.2007/31.12.2007</w:t>
            </w:r>
          </w:p>
        </w:tc>
        <w:tc>
          <w:tcPr>
            <w:tcW w:w="2214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</w:t>
            </w:r>
          </w:p>
          <w:p w:rsidR="00000000" w:rsidRDefault="0096003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11.929.000</w:t>
            </w:r>
          </w:p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6003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6003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0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600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0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96003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600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Sermayesi</w:t>
            </w:r>
          </w:p>
        </w:tc>
        <w:tc>
          <w:tcPr>
            <w:tcW w:w="2342" w:type="dxa"/>
          </w:tcPr>
          <w:p w:rsidR="00000000" w:rsidRDefault="009600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00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ANONİM TÜRK SİGORTA ŞTİ.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EMEKLİLİK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TURİZM İNŞAAT VE TİCARET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ANTG</w:t>
            </w:r>
            <w:r>
              <w:rPr>
                <w:rFonts w:ascii="Arial" w:hAnsi="Arial"/>
                <w:color w:val="000000"/>
                <w:sz w:val="16"/>
              </w:rPr>
              <w:t>IDA GIDA TAR.TUR. EN.VE DEM.ÇEL.SAN.TİC.A.Ş.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ARAP-TÜRK BANKASI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ASMAŞ AĞIR SANAYİ MAKİNALARI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AVEA İLETİŞİM HİZMETLERİ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7.024.867.230,97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BAYEK TEDAVİ SAĞLIK HİZ.VE İŞL.A.Ş.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  <w:r>
              <w:rPr>
                <w:rFonts w:ascii="Arial" w:hAnsi="Arial"/>
                <w:color w:val="000000"/>
                <w:sz w:val="16"/>
              </w:rPr>
              <w:t>.000.000,00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20.142.407,00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YATIRIM HOLDİNG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SANAYİİ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9.397.297,00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ÇELİKORD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FİNANSAL KİRALAMA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139.500.000,00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GAYRİMENKUL YA</w:t>
            </w:r>
            <w:r>
              <w:rPr>
                <w:rFonts w:ascii="Arial" w:hAnsi="Arial"/>
                <w:color w:val="000000"/>
                <w:sz w:val="16"/>
              </w:rPr>
              <w:t>TIRIM ORTAKLIĞI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MERKEZLERİ YÖNETİM VE İŞLETİM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NET ELEKT.BİLGİ ÜR. DAĞ.TİC.VE İLET.HİZ.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119.387.000,00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İŞBANK GmbH   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86.965.636,07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İŞ-DUBLIN FINANCIAL SERVICES PLC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212.612,50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YAYINLARI İŞ TÜRK LTD.ŞTİ.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385.000.000,00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MİPAŞ MÜMESSİLLİK İTH.İHR. VE PAZ.A.Ş.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18.630.000,00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NEMRUT LİMAN İŞLETMELERİ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</w:t>
            </w:r>
            <w:r>
              <w:rPr>
                <w:rFonts w:ascii="Arial" w:hAnsi="Arial"/>
                <w:color w:val="000000"/>
                <w:sz w:val="16"/>
              </w:rPr>
              <w:t>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YATIRIM HOLDİNG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PİRELLİ LASTİKLERİ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ŞİŞE VE CAM FAB.A.Ş.</w:t>
            </w:r>
          </w:p>
        </w:tc>
        <w:tc>
          <w:tcPr>
            <w:tcW w:w="2304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1.006.222.184,00</w:t>
            </w:r>
          </w:p>
        </w:tc>
        <w:tc>
          <w:tcPr>
            <w:tcW w:w="2342" w:type="dxa"/>
            <w:vAlign w:val="bottom"/>
          </w:tcPr>
          <w:p w:rsidR="00000000" w:rsidRDefault="0096003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64,11</w:t>
            </w:r>
          </w:p>
        </w:tc>
      </w:tr>
    </w:tbl>
    <w:p w:rsidR="00000000" w:rsidRDefault="0096003D">
      <w:pPr>
        <w:rPr>
          <w:rFonts w:ascii="Arial" w:hAnsi="Arial"/>
          <w:color w:val="FF0000"/>
          <w:sz w:val="16"/>
        </w:rPr>
      </w:pPr>
    </w:p>
    <w:p w:rsidR="00000000" w:rsidRDefault="0096003D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0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</w:t>
            </w:r>
            <w:r>
              <w:rPr>
                <w:rFonts w:ascii="Arial" w:hAnsi="Arial"/>
                <w:sz w:val="16"/>
              </w:rPr>
              <w:t xml:space="preserve">arı ve sermaye payları aşağıda gösterilmektedir. </w:t>
            </w:r>
          </w:p>
        </w:tc>
        <w:tc>
          <w:tcPr>
            <w:tcW w:w="1134" w:type="dxa"/>
          </w:tcPr>
          <w:p w:rsidR="00000000" w:rsidRDefault="009600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0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6003D">
      <w:pPr>
        <w:jc w:val="center"/>
        <w:rPr>
          <w:rFonts w:ascii="Arial" w:hAnsi="Arial"/>
          <w:sz w:val="16"/>
        </w:rPr>
      </w:pPr>
    </w:p>
    <w:p w:rsidR="00000000" w:rsidRDefault="0096003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00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600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600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00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İŞ BANKASI A.Ş. </w:t>
            </w:r>
            <w:r>
              <w:rPr>
                <w:rFonts w:ascii="Arial" w:hAnsi="Arial"/>
                <w:color w:val="000000"/>
                <w:sz w:val="16"/>
              </w:rPr>
              <w:t>MENSUPLARI MUNZAM SOSYAL GEVENLİK VE YARDIMLAŞMA SANDIĞI VAKFI</w:t>
            </w:r>
          </w:p>
        </w:tc>
        <w:tc>
          <w:tcPr>
            <w:tcW w:w="1908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1.145.175.001,55</w:t>
            </w:r>
          </w:p>
        </w:tc>
        <w:tc>
          <w:tcPr>
            <w:tcW w:w="2410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41,54</w:t>
            </w:r>
          </w:p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HALK PARTİSİ</w:t>
            </w:r>
          </w:p>
        </w:tc>
        <w:tc>
          <w:tcPr>
            <w:tcW w:w="1908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774.381.440,30</w:t>
            </w:r>
          </w:p>
        </w:tc>
        <w:tc>
          <w:tcPr>
            <w:tcW w:w="2410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(196.592)</w:t>
            </w:r>
          </w:p>
        </w:tc>
        <w:tc>
          <w:tcPr>
            <w:tcW w:w="1908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837.028.558,15</w:t>
            </w:r>
          </w:p>
        </w:tc>
        <w:tc>
          <w:tcPr>
            <w:tcW w:w="2410" w:type="dxa"/>
          </w:tcPr>
          <w:p w:rsidR="00000000" w:rsidRDefault="009600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003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9600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2.756.585.000</w:t>
            </w:r>
          </w:p>
        </w:tc>
        <w:tc>
          <w:tcPr>
            <w:tcW w:w="2410" w:type="dxa"/>
          </w:tcPr>
          <w:p w:rsidR="00000000" w:rsidRDefault="009600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00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9600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96003D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003D"/>
    <w:rsid w:val="0096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23C5A91-3169-4220-BBBE-1148ADD1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2008-04-11T20:46:00Z</cp:lastPrinted>
  <dcterms:created xsi:type="dcterms:W3CDTF">2022-09-01T21:38:00Z</dcterms:created>
  <dcterms:modified xsi:type="dcterms:W3CDTF">2022-09-01T21:38:00Z</dcterms:modified>
</cp:coreProperties>
</file>