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6C37">
            <w:pPr>
              <w:pStyle w:val="Heading2"/>
            </w:pPr>
            <w:r>
              <w:t>İZMİR DEMİR ÇELİK SANAYİ A.Ş.</w:t>
            </w:r>
          </w:p>
        </w:tc>
      </w:tr>
    </w:tbl>
    <w:p w:rsidR="00000000" w:rsidRDefault="00E46C3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13.11.1975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VE HADDE MAMULÜ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STEEL PRODUCTS AND ROLLED PRODUCTS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ŞAİR EŞREF BULVARI NO:23/3 35210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ÇANKAYA </w:t>
            </w:r>
            <w:r>
              <w:rPr>
                <w:rFonts w:ascii="Arial" w:hAnsi="Arial"/>
                <w:color w:val="000000"/>
                <w:sz w:val="16"/>
              </w:rPr>
              <w:t>-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NURİ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ADİL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BAŞTUĞ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SERKAN ŞAHİN</w:t>
            </w:r>
          </w:p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</w:t>
            </w:r>
            <w:r>
              <w:rPr>
                <w:rFonts w:ascii="Arial" w:hAnsi="Arial"/>
                <w:color w:val="000000"/>
                <w:sz w:val="16"/>
              </w:rPr>
              <w:t>2 441 50 50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0 232 441 56 66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6C37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info@izdemir.com.tr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01.09.2006 - 31.08.2008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</w:t>
            </w:r>
            <w:r>
              <w:rPr>
                <w:rFonts w:ascii="Arial" w:hAnsi="Arial"/>
                <w:b/>
                <w:color w:val="000000"/>
                <w:sz w:val="16"/>
              </w:rPr>
              <w:t>ollective Bargaining Period)</w:t>
            </w:r>
          </w:p>
        </w:tc>
        <w:tc>
          <w:tcPr>
            <w:tcW w:w="142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6C37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400.000.000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6C3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124.500.000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 NATIONAL)</w:t>
            </w:r>
          </w:p>
        </w:tc>
      </w:tr>
    </w:tbl>
    <w:p w:rsidR="00000000" w:rsidRDefault="00E46C37">
      <w:pPr>
        <w:rPr>
          <w:rFonts w:ascii="Arial" w:hAnsi="Arial"/>
          <w:sz w:val="18"/>
        </w:rPr>
      </w:pPr>
    </w:p>
    <w:p w:rsidR="00000000" w:rsidRDefault="00E46C37">
      <w:pPr>
        <w:rPr>
          <w:rFonts w:ascii="Arial" w:hAnsi="Arial"/>
          <w:sz w:val="16"/>
        </w:rPr>
      </w:pPr>
    </w:p>
    <w:p w:rsidR="00000000" w:rsidRDefault="00E46C37">
      <w:pPr>
        <w:rPr>
          <w:rFonts w:ascii="Arial" w:hAnsi="Arial"/>
          <w:sz w:val="16"/>
        </w:rPr>
      </w:pPr>
    </w:p>
    <w:p w:rsidR="00000000" w:rsidRDefault="00E46C37">
      <w:pPr>
        <w:rPr>
          <w:rFonts w:ascii="Arial" w:hAnsi="Arial"/>
          <w:sz w:val="16"/>
        </w:rPr>
      </w:pPr>
    </w:p>
    <w:p w:rsidR="00000000" w:rsidRDefault="00E46C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6C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46C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6C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E46C3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520"/>
        <w:gridCol w:w="1990"/>
        <w:gridCol w:w="12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6C3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46C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Demir (Ton)</w:t>
            </w:r>
          </w:p>
        </w:tc>
        <w:tc>
          <w:tcPr>
            <w:tcW w:w="1520" w:type="dxa"/>
          </w:tcPr>
          <w:p w:rsidR="00000000" w:rsidRDefault="00E46C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46C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46C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Hadde Mamulü (Ton) </w:t>
            </w:r>
          </w:p>
        </w:tc>
        <w:tc>
          <w:tcPr>
            <w:tcW w:w="1270" w:type="dxa"/>
          </w:tcPr>
          <w:p w:rsidR="00000000" w:rsidRDefault="00E46C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46C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6C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46C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Billet (Tons)</w:t>
            </w:r>
          </w:p>
        </w:tc>
        <w:tc>
          <w:tcPr>
            <w:tcW w:w="1520" w:type="dxa"/>
          </w:tcPr>
          <w:p w:rsidR="00000000" w:rsidRDefault="00E46C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46C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46C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Rolled Product (Tons)</w:t>
            </w:r>
          </w:p>
        </w:tc>
        <w:tc>
          <w:tcPr>
            <w:tcW w:w="1270" w:type="dxa"/>
          </w:tcPr>
          <w:p w:rsidR="00000000" w:rsidRDefault="00E46C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46C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6C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E46C3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788.871</w:t>
            </w:r>
          </w:p>
        </w:tc>
        <w:tc>
          <w:tcPr>
            <w:tcW w:w="1520" w:type="dxa"/>
          </w:tcPr>
          <w:p w:rsidR="00000000" w:rsidRDefault="00E46C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79,92 (*)</w:t>
            </w:r>
          </w:p>
        </w:tc>
        <w:tc>
          <w:tcPr>
            <w:tcW w:w="1990" w:type="dxa"/>
          </w:tcPr>
          <w:p w:rsidR="00000000" w:rsidRDefault="00E46C3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801.932       </w:t>
            </w:r>
          </w:p>
          <w:p w:rsidR="00000000" w:rsidRDefault="00E46C3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70" w:type="dxa"/>
          </w:tcPr>
          <w:p w:rsidR="00000000" w:rsidRDefault="00E46C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98 (*)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6C3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46C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E46C3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46C3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855.238</w:t>
            </w:r>
          </w:p>
        </w:tc>
        <w:tc>
          <w:tcPr>
            <w:tcW w:w="1520" w:type="dxa"/>
          </w:tcPr>
          <w:p w:rsidR="00000000" w:rsidRDefault="00E46C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</w:p>
          <w:p w:rsidR="00000000" w:rsidRDefault="00E46C37">
            <w:pPr>
              <w:tabs>
                <w:tab w:val="left" w:pos="1412"/>
              </w:tabs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100,62</w:t>
            </w:r>
          </w:p>
        </w:tc>
        <w:tc>
          <w:tcPr>
            <w:tcW w:w="1990" w:type="dxa"/>
          </w:tcPr>
          <w:p w:rsidR="00000000" w:rsidRDefault="00E46C3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46C3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857.880</w:t>
            </w:r>
          </w:p>
        </w:tc>
        <w:tc>
          <w:tcPr>
            <w:tcW w:w="1270" w:type="dxa"/>
          </w:tcPr>
          <w:p w:rsidR="00000000" w:rsidRDefault="00E46C37">
            <w:pPr>
              <w:tabs>
                <w:tab w:val="left" w:pos="913"/>
              </w:tabs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  <w:p w:rsidR="00000000" w:rsidRDefault="00E46C37">
            <w:pPr>
              <w:tabs>
                <w:tab w:val="left" w:pos="913"/>
              </w:tabs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</w:t>
            </w:r>
            <w:r>
              <w:rPr>
                <w:rFonts w:ascii="Arial" w:hAnsi="Arial"/>
                <w:color w:val="000000"/>
                <w:sz w:val="16"/>
              </w:rPr>
              <w:t>112,88</w:t>
            </w:r>
          </w:p>
        </w:tc>
      </w:tr>
    </w:tbl>
    <w:p w:rsidR="00000000" w:rsidRDefault="00E46C3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</w:t>
      </w:r>
      <w:r>
        <w:rPr>
          <w:rFonts w:ascii="Arial" w:hAnsi="Arial"/>
          <w:sz w:val="16"/>
        </w:rPr>
        <w:t>ite Kullan</w:t>
      </w:r>
      <w:r>
        <w:rPr>
          <w:rFonts w:ascii="Arial" w:hAnsi="Arial"/>
          <w:sz w:val="16"/>
        </w:rPr>
        <w:t>ım Oranı</w:t>
      </w:r>
    </w:p>
    <w:p w:rsidR="00000000" w:rsidRDefault="00E46C3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46C37">
      <w:pPr>
        <w:rPr>
          <w:rFonts w:ascii="Arial" w:hAnsi="Arial"/>
          <w:i/>
          <w:sz w:val="16"/>
        </w:rPr>
      </w:pPr>
    </w:p>
    <w:p w:rsidR="00000000" w:rsidRDefault="00E46C3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* Yatırımlar nedeniyle, Çelikhanede 01.08.2007 - 12.09.2007 tarihleri arasında, Haddehanede 19.07.2007 - 01.08.2007 tarihleri arasında üretim yapılmamıştır. Yatırımlar sonucunda kapasite Çelikhanede 850.000 tondan</w:t>
      </w:r>
      <w:r>
        <w:rPr>
          <w:rFonts w:ascii="Arial" w:hAnsi="Arial"/>
          <w:i/>
          <w:sz w:val="16"/>
        </w:rPr>
        <w:t xml:space="preserve"> 1.320.000 tona, Haddehanede 760.00 tondan 900.000 tona çıkmıştır.</w:t>
      </w:r>
    </w:p>
    <w:p w:rsidR="00000000" w:rsidRDefault="00E46C37">
      <w:pPr>
        <w:rPr>
          <w:rFonts w:ascii="Arial" w:hAnsi="Arial"/>
          <w:i/>
          <w:sz w:val="16"/>
        </w:rPr>
      </w:pPr>
    </w:p>
    <w:p w:rsidR="00000000" w:rsidRDefault="00E46C3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Suspension of production took place at melt shop between 1st,August and 12th ,September,2007 ; and at rolling mill between 19th,July and 1st August,2007 for the implementation of the inves</w:t>
      </w:r>
      <w:r>
        <w:rPr>
          <w:rFonts w:ascii="Arial" w:hAnsi="Arial"/>
          <w:i/>
          <w:sz w:val="16"/>
        </w:rPr>
        <w:t>tments. The capacities has been increased from 850.00 mt to 1.320.000 mt, from 760.000 mt up to 900.000 mt respectively after these investments are commisioned.</w:t>
      </w:r>
    </w:p>
    <w:p w:rsidR="00000000" w:rsidRDefault="00E46C37">
      <w:pPr>
        <w:rPr>
          <w:rFonts w:ascii="Arial" w:hAnsi="Arial"/>
          <w:i/>
          <w:sz w:val="16"/>
        </w:rPr>
      </w:pPr>
    </w:p>
    <w:p w:rsidR="00000000" w:rsidRDefault="00E46C37">
      <w:pPr>
        <w:rPr>
          <w:rFonts w:ascii="Arial" w:hAnsi="Arial"/>
          <w:i/>
          <w:sz w:val="16"/>
        </w:rPr>
      </w:pPr>
    </w:p>
    <w:p w:rsidR="00000000" w:rsidRDefault="00E46C37">
      <w:pPr>
        <w:rPr>
          <w:rFonts w:ascii="Arial" w:hAnsi="Arial"/>
          <w:i/>
          <w:sz w:val="16"/>
        </w:rPr>
      </w:pPr>
    </w:p>
    <w:p w:rsidR="00000000" w:rsidRDefault="00E46C37">
      <w:pPr>
        <w:rPr>
          <w:rFonts w:ascii="Arial" w:hAnsi="Arial"/>
          <w:i/>
          <w:sz w:val="16"/>
        </w:rPr>
      </w:pPr>
    </w:p>
    <w:p w:rsidR="00000000" w:rsidRDefault="00E46C37">
      <w:pPr>
        <w:rPr>
          <w:rFonts w:ascii="Arial" w:hAnsi="Arial"/>
          <w:i/>
          <w:sz w:val="16"/>
        </w:rPr>
      </w:pPr>
    </w:p>
    <w:p w:rsidR="00000000" w:rsidRDefault="00E46C37">
      <w:pPr>
        <w:rPr>
          <w:rFonts w:ascii="Arial" w:hAnsi="Arial"/>
          <w:i/>
          <w:sz w:val="16"/>
        </w:rPr>
      </w:pPr>
    </w:p>
    <w:p w:rsidR="00000000" w:rsidRDefault="00E46C37">
      <w:pPr>
        <w:rPr>
          <w:rFonts w:ascii="Arial" w:hAnsi="Arial"/>
          <w:i/>
          <w:sz w:val="16"/>
        </w:rPr>
      </w:pPr>
    </w:p>
    <w:p w:rsidR="00000000" w:rsidRDefault="00E46C37">
      <w:pPr>
        <w:rPr>
          <w:rFonts w:ascii="Arial" w:hAnsi="Arial"/>
          <w:i/>
          <w:sz w:val="16"/>
        </w:rPr>
      </w:pPr>
    </w:p>
    <w:p w:rsidR="00000000" w:rsidRDefault="00E46C37">
      <w:pPr>
        <w:rPr>
          <w:rFonts w:ascii="Arial" w:hAnsi="Arial"/>
          <w:i/>
          <w:sz w:val="16"/>
        </w:rPr>
      </w:pPr>
    </w:p>
    <w:p w:rsidR="00000000" w:rsidRDefault="00E46C37">
      <w:pPr>
        <w:rPr>
          <w:rFonts w:ascii="Arial" w:hAnsi="Arial"/>
          <w:i/>
          <w:sz w:val="16"/>
        </w:rPr>
      </w:pPr>
    </w:p>
    <w:p w:rsidR="00000000" w:rsidRDefault="00E46C37">
      <w:pPr>
        <w:rPr>
          <w:rFonts w:ascii="Arial" w:hAnsi="Arial"/>
          <w:i/>
          <w:sz w:val="16"/>
        </w:rPr>
      </w:pPr>
    </w:p>
    <w:p w:rsidR="00000000" w:rsidRDefault="00E46C37">
      <w:pPr>
        <w:rPr>
          <w:rFonts w:ascii="Arial" w:hAnsi="Arial"/>
          <w:sz w:val="16"/>
        </w:rPr>
      </w:pPr>
    </w:p>
    <w:p w:rsidR="00000000" w:rsidRDefault="00E46C37">
      <w:pPr>
        <w:rPr>
          <w:rFonts w:ascii="Arial" w:hAnsi="Arial"/>
          <w:sz w:val="16"/>
        </w:rPr>
      </w:pPr>
    </w:p>
    <w:p w:rsidR="00000000" w:rsidRDefault="00E46C37">
      <w:pPr>
        <w:rPr>
          <w:rFonts w:ascii="Arial" w:hAnsi="Arial"/>
          <w:sz w:val="16"/>
        </w:rPr>
      </w:pPr>
    </w:p>
    <w:p w:rsidR="00000000" w:rsidRDefault="00E46C37">
      <w:pPr>
        <w:rPr>
          <w:rFonts w:ascii="Arial" w:hAnsi="Arial"/>
          <w:sz w:val="16"/>
        </w:rPr>
      </w:pPr>
    </w:p>
    <w:p w:rsidR="00000000" w:rsidRDefault="00E46C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6C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1134" w:type="dxa"/>
          </w:tcPr>
          <w:p w:rsidR="00000000" w:rsidRDefault="00E46C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6C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46C3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6C3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46C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Demir (Ton)</w:t>
            </w:r>
          </w:p>
        </w:tc>
        <w:tc>
          <w:tcPr>
            <w:tcW w:w="1990" w:type="dxa"/>
          </w:tcPr>
          <w:p w:rsidR="00000000" w:rsidRDefault="00E46C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Hadde Mamulü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6C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46C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Billet (Tons)</w:t>
            </w:r>
          </w:p>
        </w:tc>
        <w:tc>
          <w:tcPr>
            <w:tcW w:w="1990" w:type="dxa"/>
          </w:tcPr>
          <w:p w:rsidR="00000000" w:rsidRDefault="00E46C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Rolled Product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6C3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46C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E46C3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46C3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10.575</w:t>
            </w:r>
          </w:p>
        </w:tc>
        <w:tc>
          <w:tcPr>
            <w:tcW w:w="1990" w:type="dxa"/>
          </w:tcPr>
          <w:p w:rsidR="00000000" w:rsidRDefault="00E46C3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  <w:p w:rsidR="00000000" w:rsidRDefault="00E46C3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1.006.336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6C3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46C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E46C3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46C3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23.771</w:t>
            </w:r>
          </w:p>
        </w:tc>
        <w:tc>
          <w:tcPr>
            <w:tcW w:w="1990" w:type="dxa"/>
          </w:tcPr>
          <w:p w:rsidR="00000000" w:rsidRDefault="00E46C3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46C3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1.112.654</w:t>
            </w:r>
          </w:p>
        </w:tc>
      </w:tr>
    </w:tbl>
    <w:p w:rsidR="00000000" w:rsidRDefault="00E46C37">
      <w:pPr>
        <w:rPr>
          <w:rFonts w:ascii="Arial" w:hAnsi="Arial"/>
          <w:sz w:val="16"/>
        </w:rPr>
      </w:pPr>
    </w:p>
    <w:p w:rsidR="00000000" w:rsidRDefault="00E46C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6C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</w:t>
            </w:r>
            <w:r>
              <w:rPr>
                <w:rFonts w:ascii="Arial" w:hAnsi="Arial"/>
                <w:sz w:val="16"/>
              </w:rPr>
              <w:t>irdiği ithalat ve ihracat rakamları aşağıda gösterilmiştir.</w:t>
            </w:r>
          </w:p>
        </w:tc>
        <w:tc>
          <w:tcPr>
            <w:tcW w:w="1134" w:type="dxa"/>
          </w:tcPr>
          <w:p w:rsidR="00000000" w:rsidRDefault="00E46C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6C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46C3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09"/>
        <w:gridCol w:w="1560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46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E46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09" w:type="dxa"/>
          </w:tcPr>
          <w:p w:rsidR="00000000" w:rsidRDefault="00E46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60" w:type="dxa"/>
          </w:tcPr>
          <w:p w:rsidR="00000000" w:rsidRDefault="00E46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27" w:type="dxa"/>
          </w:tcPr>
          <w:p w:rsidR="00000000" w:rsidRDefault="00E46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46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E46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) </w:t>
            </w:r>
          </w:p>
        </w:tc>
        <w:tc>
          <w:tcPr>
            <w:tcW w:w="2409" w:type="dxa"/>
          </w:tcPr>
          <w:p w:rsidR="00000000" w:rsidRDefault="00E46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60" w:type="dxa"/>
          </w:tcPr>
          <w:p w:rsidR="00000000" w:rsidRDefault="00E46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E46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46C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  <w:p w:rsidR="00000000" w:rsidRDefault="00E46C3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669" w:type="dxa"/>
          </w:tcPr>
          <w:p w:rsidR="00000000" w:rsidRDefault="00E46C3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289.156.274 </w:t>
            </w:r>
          </w:p>
          <w:p w:rsidR="00000000" w:rsidRDefault="00E46C3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211.841.490</w:t>
            </w:r>
          </w:p>
          <w:p w:rsidR="00000000" w:rsidRDefault="00E46C3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09" w:type="dxa"/>
          </w:tcPr>
          <w:p w:rsidR="00000000" w:rsidRDefault="00E46C3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</w:t>
            </w:r>
          </w:p>
        </w:tc>
        <w:tc>
          <w:tcPr>
            <w:tcW w:w="1560" w:type="dxa"/>
          </w:tcPr>
          <w:p w:rsidR="00000000" w:rsidRDefault="00E46C37">
            <w:pPr>
              <w:ind w:right="395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679.065.108</w:t>
            </w:r>
          </w:p>
          <w:p w:rsidR="00000000" w:rsidRDefault="00E46C37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518.323.224</w:t>
            </w:r>
          </w:p>
        </w:tc>
        <w:tc>
          <w:tcPr>
            <w:tcW w:w="2127" w:type="dxa"/>
          </w:tcPr>
          <w:p w:rsidR="00000000" w:rsidRDefault="00E46C3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46C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  <w:p w:rsidR="00000000" w:rsidRDefault="00E46C3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669" w:type="dxa"/>
          </w:tcPr>
          <w:p w:rsidR="00000000" w:rsidRDefault="00E46C3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350.257.362 244.252.066</w:t>
            </w:r>
          </w:p>
        </w:tc>
        <w:tc>
          <w:tcPr>
            <w:tcW w:w="2409" w:type="dxa"/>
          </w:tcPr>
          <w:p w:rsidR="00000000" w:rsidRDefault="00E46C3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64</w:t>
            </w:r>
          </w:p>
          <w:p w:rsidR="00000000" w:rsidRDefault="00E46C37">
            <w:pPr>
              <w:tabs>
                <w:tab w:val="left" w:pos="962"/>
                <w:tab w:val="left" w:pos="1104"/>
                <w:tab w:val="left" w:pos="1246"/>
              </w:tabs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</w:t>
            </w:r>
          </w:p>
        </w:tc>
        <w:tc>
          <w:tcPr>
            <w:tcW w:w="1560" w:type="dxa"/>
          </w:tcPr>
          <w:p w:rsidR="00000000" w:rsidRDefault="00E46C37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675.442.184       </w:t>
            </w:r>
          </w:p>
          <w:p w:rsidR="00000000" w:rsidRDefault="00E46C37">
            <w:pPr>
              <w:tabs>
                <w:tab w:val="left" w:pos="252"/>
              </w:tabs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468.363.303</w:t>
            </w:r>
          </w:p>
        </w:tc>
        <w:tc>
          <w:tcPr>
            <w:tcW w:w="2127" w:type="dxa"/>
          </w:tcPr>
          <w:p w:rsidR="00000000" w:rsidRDefault="00E46C3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82</w:t>
            </w:r>
          </w:p>
        </w:tc>
      </w:tr>
    </w:tbl>
    <w:p w:rsidR="00000000" w:rsidRDefault="00E46C37">
      <w:pPr>
        <w:rPr>
          <w:rFonts w:ascii="Arial" w:hAnsi="Arial"/>
          <w:b/>
          <w:u w:val="single"/>
        </w:rPr>
      </w:pPr>
    </w:p>
    <w:p w:rsidR="00000000" w:rsidRDefault="00E46C37">
      <w:pPr>
        <w:rPr>
          <w:rFonts w:ascii="Arial" w:hAnsi="Arial"/>
          <w:sz w:val="16"/>
        </w:rPr>
      </w:pPr>
    </w:p>
    <w:p w:rsidR="00000000" w:rsidRDefault="00E46C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46C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46C3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46C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46C3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5"/>
        <w:gridCol w:w="3118"/>
        <w:gridCol w:w="1701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E46C3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118" w:type="dxa"/>
          </w:tcPr>
          <w:p w:rsidR="00000000" w:rsidRDefault="00E46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701" w:type="dxa"/>
          </w:tcPr>
          <w:p w:rsidR="00000000" w:rsidRDefault="00E46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3118" w:type="dxa"/>
          </w:tcPr>
          <w:p w:rsidR="00000000" w:rsidRDefault="00E46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1701" w:type="dxa"/>
          </w:tcPr>
          <w:p w:rsidR="00000000" w:rsidRDefault="00E46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E46C37">
            <w:pPr>
              <w:ind w:left="-30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E46C3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3118" w:type="dxa"/>
          </w:tcPr>
          <w:p w:rsidR="00000000" w:rsidRDefault="00E46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701" w:type="dxa"/>
          </w:tcPr>
          <w:p w:rsidR="00000000" w:rsidRDefault="00E46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701" w:type="dxa"/>
          </w:tcPr>
          <w:p w:rsidR="00000000" w:rsidRDefault="00E46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E46C3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-                                    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E46C3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6C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</w:t>
            </w:r>
            <w:r>
              <w:rPr>
                <w:rFonts w:ascii="Arial" w:hAnsi="Arial"/>
                <w:sz w:val="16"/>
              </w:rPr>
              <w:t xml:space="preserve">dir. </w:t>
            </w:r>
          </w:p>
        </w:tc>
        <w:tc>
          <w:tcPr>
            <w:tcW w:w="1134" w:type="dxa"/>
          </w:tcPr>
          <w:p w:rsidR="00000000" w:rsidRDefault="00E46C37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6C3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46C37">
      <w:pPr>
        <w:tabs>
          <w:tab w:val="left" w:pos="3686"/>
        </w:tabs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15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15" w:type="dxa"/>
          </w:tcPr>
          <w:p w:rsidR="00000000" w:rsidRDefault="00E46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46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46C3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15" w:type="dxa"/>
          </w:tcPr>
          <w:p w:rsidR="00000000" w:rsidRDefault="00E46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46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İPLİK PAZARLAMA A.Ş.</w:t>
            </w:r>
          </w:p>
        </w:tc>
        <w:tc>
          <w:tcPr>
            <w:tcW w:w="1915" w:type="dxa"/>
          </w:tcPr>
          <w:p w:rsidR="00000000" w:rsidRDefault="00E46C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100.000,00 YTL</w:t>
            </w:r>
          </w:p>
        </w:tc>
        <w:tc>
          <w:tcPr>
            <w:tcW w:w="2342" w:type="dxa"/>
          </w:tcPr>
          <w:p w:rsidR="00000000" w:rsidRDefault="00E46C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İDÇ LİMAN İŞLETMELERİ A.Ş.</w:t>
            </w:r>
          </w:p>
        </w:tc>
        <w:tc>
          <w:tcPr>
            <w:tcW w:w="1915" w:type="dxa"/>
          </w:tcPr>
          <w:p w:rsidR="00000000" w:rsidRDefault="00E46C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13.638.000,00 YTL</w:t>
            </w:r>
          </w:p>
        </w:tc>
        <w:tc>
          <w:tcPr>
            <w:tcW w:w="2342" w:type="dxa"/>
          </w:tcPr>
          <w:p w:rsidR="00000000" w:rsidRDefault="00E46C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AKDEMİR ÇELİK SANAYİ VE TİCARET A.Ş.</w:t>
            </w:r>
          </w:p>
        </w:tc>
        <w:tc>
          <w:tcPr>
            <w:tcW w:w="1915" w:type="dxa"/>
          </w:tcPr>
          <w:p w:rsidR="00000000" w:rsidRDefault="00E46C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3.097.362,00 YTL</w:t>
            </w:r>
          </w:p>
        </w:tc>
        <w:tc>
          <w:tcPr>
            <w:tcW w:w="2342" w:type="dxa"/>
          </w:tcPr>
          <w:p w:rsidR="00000000" w:rsidRDefault="00E46C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İZDEMİR ENERJİ ELEKTRİK ÜRETİM A.Ş.</w:t>
            </w:r>
          </w:p>
        </w:tc>
        <w:tc>
          <w:tcPr>
            <w:tcW w:w="1915" w:type="dxa"/>
          </w:tcPr>
          <w:p w:rsidR="00000000" w:rsidRDefault="00E46C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1.000.000,00 YTL</w:t>
            </w:r>
          </w:p>
        </w:tc>
        <w:tc>
          <w:tcPr>
            <w:tcW w:w="2342" w:type="dxa"/>
          </w:tcPr>
          <w:p w:rsidR="00000000" w:rsidRDefault="00E46C37">
            <w:pPr>
              <w:ind w:right="96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60,00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İHY İZMİR HAVAYOLLARI A.Ş.</w:t>
            </w:r>
          </w:p>
        </w:tc>
        <w:tc>
          <w:tcPr>
            <w:tcW w:w="1915" w:type="dxa"/>
          </w:tcPr>
          <w:p w:rsidR="00000000" w:rsidRDefault="00E46C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41.000.000,00 YTL</w:t>
            </w:r>
          </w:p>
        </w:tc>
        <w:tc>
          <w:tcPr>
            <w:tcW w:w="2342" w:type="dxa"/>
          </w:tcPr>
          <w:p w:rsidR="00000000" w:rsidRDefault="00E46C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ENDA ENERJİ HOLDİ</w:t>
            </w:r>
            <w:r>
              <w:rPr>
                <w:rFonts w:ascii="Arial" w:hAnsi="Arial"/>
                <w:color w:val="000000"/>
                <w:sz w:val="16"/>
              </w:rPr>
              <w:t xml:space="preserve">NG A.Ş.                                  </w:t>
            </w:r>
          </w:p>
        </w:tc>
        <w:tc>
          <w:tcPr>
            <w:tcW w:w="1915" w:type="dxa"/>
          </w:tcPr>
          <w:p w:rsidR="00000000" w:rsidRDefault="00E46C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60.000.000,00 YTL</w:t>
            </w:r>
          </w:p>
        </w:tc>
        <w:tc>
          <w:tcPr>
            <w:tcW w:w="2342" w:type="dxa"/>
          </w:tcPr>
          <w:p w:rsidR="00000000" w:rsidRDefault="00E46C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İTAŞ İZMİR TEKNOPARK TİCARET A.Ş.</w:t>
            </w:r>
          </w:p>
        </w:tc>
        <w:tc>
          <w:tcPr>
            <w:tcW w:w="1915" w:type="dxa"/>
          </w:tcPr>
          <w:p w:rsidR="00000000" w:rsidRDefault="00E46C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200.000,00 YTL</w:t>
            </w:r>
          </w:p>
        </w:tc>
        <w:tc>
          <w:tcPr>
            <w:tcW w:w="2342" w:type="dxa"/>
          </w:tcPr>
          <w:p w:rsidR="00000000" w:rsidRDefault="00E46C37">
            <w:pPr>
              <w:ind w:right="1103"/>
              <w:jc w:val="right"/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>0,13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EGENDA EGE ENERJİ ÜRETİM A.Ş.</w:t>
            </w:r>
          </w:p>
        </w:tc>
        <w:tc>
          <w:tcPr>
            <w:tcW w:w="1915" w:type="dxa"/>
          </w:tcPr>
          <w:p w:rsidR="00000000" w:rsidRDefault="00E46C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40.000.000,00 YTL</w:t>
            </w:r>
          </w:p>
        </w:tc>
        <w:tc>
          <w:tcPr>
            <w:tcW w:w="2342" w:type="dxa"/>
          </w:tcPr>
          <w:p w:rsidR="00000000" w:rsidRDefault="00E46C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SİVAS DEMİR ÇELİK A.Ş.</w:t>
            </w:r>
          </w:p>
        </w:tc>
        <w:tc>
          <w:tcPr>
            <w:tcW w:w="1915" w:type="dxa"/>
          </w:tcPr>
          <w:p w:rsidR="00000000" w:rsidRDefault="00E46C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11.007.275,95 YTL</w:t>
            </w:r>
          </w:p>
        </w:tc>
        <w:tc>
          <w:tcPr>
            <w:tcW w:w="2342" w:type="dxa"/>
          </w:tcPr>
          <w:p w:rsidR="00000000" w:rsidRDefault="00E46C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</w:t>
            </w:r>
          </w:p>
        </w:tc>
      </w:tr>
    </w:tbl>
    <w:p w:rsidR="00000000" w:rsidRDefault="00E46C37">
      <w:pPr>
        <w:rPr>
          <w:rFonts w:ascii="Arial" w:hAnsi="Arial"/>
          <w:color w:val="FF0000"/>
          <w:sz w:val="16"/>
        </w:rPr>
      </w:pPr>
    </w:p>
    <w:p w:rsidR="00000000" w:rsidRDefault="00E46C3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6C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</w:t>
            </w:r>
            <w:r>
              <w:rPr>
                <w:rFonts w:ascii="Arial" w:hAnsi="Arial"/>
                <w:sz w:val="16"/>
              </w:rPr>
              <w:t xml:space="preserve">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46C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6C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46C3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46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46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46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46C3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46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46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46C37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ŞAHİN - KO</w:t>
            </w:r>
            <w:r>
              <w:rPr>
                <w:rFonts w:ascii="Arial" w:hAnsi="Arial"/>
                <w:color w:val="000000"/>
                <w:sz w:val="16"/>
              </w:rPr>
              <w:t>Ç ÇELİK SANAYİ A.Ş.</w:t>
            </w:r>
          </w:p>
        </w:tc>
        <w:tc>
          <w:tcPr>
            <w:tcW w:w="1892" w:type="dxa"/>
          </w:tcPr>
          <w:p w:rsidR="00000000" w:rsidRDefault="00E46C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86.092.066,47</w:t>
            </w:r>
          </w:p>
        </w:tc>
        <w:tc>
          <w:tcPr>
            <w:tcW w:w="2410" w:type="dxa"/>
          </w:tcPr>
          <w:p w:rsidR="00000000" w:rsidRDefault="00E46C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YABANCI ORTAKLAR</w:t>
            </w:r>
          </w:p>
        </w:tc>
        <w:tc>
          <w:tcPr>
            <w:tcW w:w="1892" w:type="dxa"/>
          </w:tcPr>
          <w:p w:rsidR="00000000" w:rsidRDefault="00E46C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6.406.000,60</w:t>
            </w:r>
          </w:p>
        </w:tc>
        <w:tc>
          <w:tcPr>
            <w:tcW w:w="2410" w:type="dxa"/>
          </w:tcPr>
          <w:p w:rsidR="00000000" w:rsidRDefault="00E46C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(HALK İŞTİRAKİ)</w:t>
            </w:r>
          </w:p>
        </w:tc>
        <w:tc>
          <w:tcPr>
            <w:tcW w:w="1892" w:type="dxa"/>
          </w:tcPr>
          <w:p w:rsidR="00000000" w:rsidRDefault="00E46C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32.001.932,93</w:t>
            </w:r>
          </w:p>
        </w:tc>
        <w:tc>
          <w:tcPr>
            <w:tcW w:w="2410" w:type="dxa"/>
          </w:tcPr>
          <w:p w:rsidR="00000000" w:rsidRDefault="00E46C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6C3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46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124.500.000,00</w:t>
            </w:r>
          </w:p>
        </w:tc>
        <w:tc>
          <w:tcPr>
            <w:tcW w:w="2410" w:type="dxa"/>
          </w:tcPr>
          <w:p w:rsidR="00000000" w:rsidRDefault="00E46C3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E46C37">
      <w:pPr>
        <w:jc w:val="both"/>
      </w:pPr>
    </w:p>
    <w:sectPr w:rsidR="00000000">
      <w:pgSz w:w="11907" w:h="16840" w:code="9"/>
      <w:pgMar w:top="567" w:right="964" w:bottom="450" w:left="964" w:header="720" w:footer="720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6C37"/>
    <w:rsid w:val="00E4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1962CAE-5355-4C89-A7CD-F5210450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mailstyle18">
    <w:name w:val="emailstyle18"/>
    <w:basedOn w:val="DefaultParagraphFont"/>
    <w:semiHidden/>
    <w:rPr>
      <w:rFonts w:ascii="Arial" w:hAnsi="Arial" w:cs="Arial"/>
      <w:color w:val="0000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izdemir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4771</CharactersWithSpaces>
  <SharedDoc>false</SharedDoc>
  <HLinks>
    <vt:vector size="6" baseType="variant">
      <vt:variant>
        <vt:i4>4587555</vt:i4>
      </vt:variant>
      <vt:variant>
        <vt:i4>0</vt:i4>
      </vt:variant>
      <vt:variant>
        <vt:i4>0</vt:i4>
      </vt:variant>
      <vt:variant>
        <vt:i4>5</vt:i4>
      </vt:variant>
      <vt:variant>
        <vt:lpwstr>mailto:info@izdemir.com.tr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2008-04-17T18:51:00Z</cp:lastPrinted>
  <dcterms:created xsi:type="dcterms:W3CDTF">2022-09-01T21:38:00Z</dcterms:created>
  <dcterms:modified xsi:type="dcterms:W3CDTF">2022-09-01T21:38:00Z</dcterms:modified>
</cp:coreProperties>
</file>