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C9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OLMUKSA INTERNATİONAL PAPER-SABANCI AMBALAJ </w:t>
            </w:r>
          </w:p>
          <w:p w:rsidR="00000000" w:rsidRDefault="00F97EC9">
            <w:pPr>
              <w:pStyle w:val="Heading2"/>
            </w:pPr>
            <w:r>
              <w:rPr>
                <w:rFonts w:ascii="Arial" w:hAnsi="Arial"/>
              </w:rPr>
              <w:t>SANAYİ VE TİCARET</w:t>
            </w:r>
            <w:r>
              <w:rPr>
                <w:rFonts w:ascii="Arial" w:hAnsi="Arial"/>
                <w:b w:val="0"/>
                <w:sz w:val="18"/>
              </w:rPr>
              <w:t xml:space="preserve"> </w:t>
            </w:r>
            <w:r>
              <w:t>A.Ş</w:t>
            </w:r>
          </w:p>
        </w:tc>
      </w:tr>
    </w:tbl>
    <w:p w:rsidR="00000000" w:rsidRDefault="00F97EC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C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02/02/1963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NEVİ VE EBATTA OLUKLU MUKAVVA KUTU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Y.TUĞRUL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CEMAL DÖRDÜNCÜ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PAUL BROWN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MARC VAN LIESHOUT  (18/03/2008’e kadar)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REYNA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PHILIPPE D’ADHEMAR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AKBAŞ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OLIVER TAUDIEN (18/03/2008 tarihinden itibaren)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0 212 385 86 00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0 212 280 89 71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contact@olmuksa.com.tr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</w:t>
            </w:r>
            <w:r>
              <w:rPr>
                <w:rFonts w:ascii="Arial TUR" w:hAnsi="Arial TUR"/>
                <w:b/>
                <w:color w:val="000000"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C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32,602,500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97E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F97EC9">
      <w:pPr>
        <w:rPr>
          <w:rFonts w:ascii="Arial" w:hAnsi="Arial"/>
          <w:sz w:val="16"/>
        </w:rPr>
      </w:pPr>
    </w:p>
    <w:p w:rsidR="00000000" w:rsidRDefault="00F97EC9">
      <w:pPr>
        <w:rPr>
          <w:rFonts w:ascii="Arial" w:hAnsi="Arial"/>
          <w:sz w:val="16"/>
        </w:rPr>
      </w:pPr>
    </w:p>
    <w:p w:rsidR="00000000" w:rsidRDefault="00F97EC9">
      <w:pPr>
        <w:rPr>
          <w:rFonts w:ascii="Arial" w:hAnsi="Arial"/>
          <w:sz w:val="16"/>
        </w:rPr>
      </w:pPr>
    </w:p>
    <w:p w:rsidR="00000000" w:rsidRDefault="00F97EC9">
      <w:pPr>
        <w:rPr>
          <w:rFonts w:ascii="Arial" w:hAnsi="Arial"/>
          <w:sz w:val="16"/>
        </w:rPr>
      </w:pPr>
    </w:p>
    <w:p w:rsidR="00000000" w:rsidRDefault="00F97EC9">
      <w:pPr>
        <w:rPr>
          <w:rFonts w:ascii="Arial" w:hAnsi="Arial"/>
          <w:sz w:val="16"/>
        </w:rPr>
      </w:pPr>
    </w:p>
    <w:p w:rsidR="00000000" w:rsidRDefault="00F97E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7EC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97E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7E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97EC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  <w:gridCol w:w="1559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7E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97E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FLUTING VE LİNER KAĞIT (TON)</w:t>
            </w:r>
          </w:p>
        </w:tc>
        <w:tc>
          <w:tcPr>
            <w:tcW w:w="1237" w:type="dxa"/>
          </w:tcPr>
          <w:p w:rsidR="00000000" w:rsidRDefault="00F97E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97E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F97E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OLUKLU MUKAVVA KUTU (TON)</w:t>
            </w:r>
          </w:p>
        </w:tc>
        <w:tc>
          <w:tcPr>
            <w:tcW w:w="1134" w:type="dxa"/>
          </w:tcPr>
          <w:p w:rsidR="00000000" w:rsidRDefault="00F97E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97E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7E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97E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Flut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ing &amp; Liner Type Paper (Tons)</w:t>
            </w:r>
          </w:p>
        </w:tc>
        <w:tc>
          <w:tcPr>
            <w:tcW w:w="1237" w:type="dxa"/>
          </w:tcPr>
          <w:p w:rsidR="00000000" w:rsidRDefault="00F97E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97E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F97E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Corrugated Board Box (Tons)</w:t>
            </w:r>
          </w:p>
        </w:tc>
        <w:tc>
          <w:tcPr>
            <w:tcW w:w="1134" w:type="dxa"/>
          </w:tcPr>
          <w:p w:rsidR="00000000" w:rsidRDefault="00F97E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97E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7E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F97EC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69,526</w:t>
            </w:r>
          </w:p>
        </w:tc>
        <w:tc>
          <w:tcPr>
            <w:tcW w:w="1237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100</w:t>
            </w:r>
          </w:p>
        </w:tc>
        <w:tc>
          <w:tcPr>
            <w:tcW w:w="1559" w:type="dxa"/>
          </w:tcPr>
          <w:p w:rsidR="00000000" w:rsidRDefault="00F97EC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194,293</w:t>
            </w:r>
          </w:p>
        </w:tc>
        <w:tc>
          <w:tcPr>
            <w:tcW w:w="1134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7E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97EC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69,003</w:t>
            </w:r>
          </w:p>
        </w:tc>
        <w:tc>
          <w:tcPr>
            <w:tcW w:w="1237" w:type="dxa"/>
          </w:tcPr>
          <w:p w:rsidR="00000000" w:rsidRDefault="00F97EC9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559" w:type="dxa"/>
          </w:tcPr>
          <w:p w:rsidR="00000000" w:rsidRDefault="00F97EC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181,791</w:t>
            </w:r>
          </w:p>
        </w:tc>
        <w:tc>
          <w:tcPr>
            <w:tcW w:w="1134" w:type="dxa"/>
          </w:tcPr>
          <w:p w:rsidR="00000000" w:rsidRDefault="00F97EC9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80</w:t>
            </w:r>
          </w:p>
        </w:tc>
      </w:tr>
    </w:tbl>
    <w:p w:rsidR="00000000" w:rsidRDefault="00F97EC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97EC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97EC9">
      <w:pPr>
        <w:rPr>
          <w:rFonts w:ascii="Arial" w:hAnsi="Arial"/>
          <w:sz w:val="16"/>
        </w:rPr>
      </w:pPr>
    </w:p>
    <w:p w:rsidR="00000000" w:rsidRDefault="00F97EC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F97E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7EC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</w:t>
            </w:r>
            <w:r>
              <w:rPr>
                <w:rFonts w:ascii="Arial TUR" w:hAnsi="Arial TUR"/>
                <w:sz w:val="16"/>
              </w:rPr>
              <w:t>ktarı bilgileri aşağıda gösterilmiştir.</w:t>
            </w:r>
          </w:p>
        </w:tc>
        <w:tc>
          <w:tcPr>
            <w:tcW w:w="1134" w:type="dxa"/>
          </w:tcPr>
          <w:p w:rsidR="00000000" w:rsidRDefault="00F97E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7E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97EC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7E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97E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FLUTING VE LİNER KAĞIT (TON)</w:t>
            </w:r>
          </w:p>
        </w:tc>
        <w:tc>
          <w:tcPr>
            <w:tcW w:w="1990" w:type="dxa"/>
          </w:tcPr>
          <w:p w:rsidR="00000000" w:rsidRDefault="00F97E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OLUKLU MUKAVVA KUTU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7E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97E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Fluting &amp; Liner Type Paper (Tons)</w:t>
            </w:r>
          </w:p>
        </w:tc>
        <w:tc>
          <w:tcPr>
            <w:tcW w:w="1990" w:type="dxa"/>
          </w:tcPr>
          <w:p w:rsidR="00000000" w:rsidRDefault="00F97E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Corrugated Board Box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7E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F97EC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</w:t>
            </w:r>
            <w:r>
              <w:rPr>
                <w:rFonts w:ascii="Arial TUR" w:hAnsi="Arial TUR"/>
                <w:sz w:val="16"/>
              </w:rPr>
              <w:t xml:space="preserve">       45,7</w:t>
            </w:r>
          </w:p>
        </w:tc>
        <w:tc>
          <w:tcPr>
            <w:tcW w:w="1990" w:type="dxa"/>
          </w:tcPr>
          <w:p w:rsidR="00000000" w:rsidRDefault="00F97EC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185,716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7E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97EC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52,5</w:t>
            </w:r>
          </w:p>
        </w:tc>
        <w:tc>
          <w:tcPr>
            <w:tcW w:w="1990" w:type="dxa"/>
          </w:tcPr>
          <w:p w:rsidR="00000000" w:rsidRDefault="00F97EC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179,404</w:t>
            </w:r>
          </w:p>
        </w:tc>
      </w:tr>
    </w:tbl>
    <w:p w:rsidR="00000000" w:rsidRDefault="00F97E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7EC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97E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7E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F97EC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7E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97E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Hammadde İthalatı (YTL)</w:t>
            </w:r>
          </w:p>
        </w:tc>
        <w:tc>
          <w:tcPr>
            <w:tcW w:w="2410" w:type="dxa"/>
          </w:tcPr>
          <w:p w:rsidR="00000000" w:rsidRDefault="00F97E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97E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97E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7E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97E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97E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97E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97E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7E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F97EC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89.342.009</w:t>
            </w:r>
          </w:p>
        </w:tc>
        <w:tc>
          <w:tcPr>
            <w:tcW w:w="2410" w:type="dxa"/>
          </w:tcPr>
          <w:p w:rsidR="00000000" w:rsidRDefault="00F97E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48,50</w:t>
            </w:r>
          </w:p>
        </w:tc>
        <w:tc>
          <w:tcPr>
            <w:tcW w:w="1559" w:type="dxa"/>
          </w:tcPr>
          <w:p w:rsidR="00000000" w:rsidRDefault="00F97EC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14,506,007</w:t>
            </w:r>
          </w:p>
        </w:tc>
        <w:tc>
          <w:tcPr>
            <w:tcW w:w="2269" w:type="dxa"/>
          </w:tcPr>
          <w:p w:rsidR="00000000" w:rsidRDefault="00F97EC9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7E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F97EC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65.521.865</w:t>
            </w:r>
          </w:p>
        </w:tc>
        <w:tc>
          <w:tcPr>
            <w:tcW w:w="2410" w:type="dxa"/>
          </w:tcPr>
          <w:p w:rsidR="00000000" w:rsidRDefault="00F97E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F97EC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9,198,134</w:t>
            </w:r>
          </w:p>
        </w:tc>
        <w:tc>
          <w:tcPr>
            <w:tcW w:w="2269" w:type="dxa"/>
          </w:tcPr>
          <w:p w:rsidR="00000000" w:rsidRDefault="00F97E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7E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F97EC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80.511.</w:t>
            </w:r>
            <w:r>
              <w:rPr>
                <w:rFonts w:ascii="Arial" w:hAnsi="Arial"/>
                <w:color w:val="000000"/>
                <w:sz w:val="16"/>
              </w:rPr>
              <w:t>874</w:t>
            </w:r>
          </w:p>
        </w:tc>
        <w:tc>
          <w:tcPr>
            <w:tcW w:w="2410" w:type="dxa"/>
          </w:tcPr>
          <w:p w:rsidR="00000000" w:rsidRDefault="00F97E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48,70</w:t>
            </w:r>
          </w:p>
        </w:tc>
        <w:tc>
          <w:tcPr>
            <w:tcW w:w="1559" w:type="dxa"/>
          </w:tcPr>
          <w:p w:rsidR="00000000" w:rsidRDefault="00F97EC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9,747,847</w:t>
            </w:r>
          </w:p>
        </w:tc>
        <w:tc>
          <w:tcPr>
            <w:tcW w:w="2269" w:type="dxa"/>
          </w:tcPr>
          <w:p w:rsidR="00000000" w:rsidRDefault="00F97E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7E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F97EC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56.258.734</w:t>
            </w:r>
          </w:p>
        </w:tc>
        <w:tc>
          <w:tcPr>
            <w:tcW w:w="2410" w:type="dxa"/>
          </w:tcPr>
          <w:p w:rsidR="00000000" w:rsidRDefault="00F97E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F97EC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6,811,437</w:t>
            </w:r>
          </w:p>
        </w:tc>
        <w:tc>
          <w:tcPr>
            <w:tcW w:w="2269" w:type="dxa"/>
          </w:tcPr>
          <w:p w:rsidR="00000000" w:rsidRDefault="00F97E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97EC9">
      <w:pPr>
        <w:rPr>
          <w:rFonts w:ascii="Arial" w:hAnsi="Arial"/>
          <w:sz w:val="16"/>
        </w:rPr>
      </w:pPr>
    </w:p>
    <w:p w:rsidR="00000000" w:rsidRDefault="00F97E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97EC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97E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97EC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7EC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97E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97E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97E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</w:t>
            </w:r>
            <w:r>
              <w:rPr>
                <w:rFonts w:ascii="Arial TUR" w:hAnsi="Arial TUR"/>
                <w:b/>
                <w:color w:val="000000"/>
                <w:sz w:val="16"/>
              </w:rPr>
              <w:t>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7E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97E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97E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97E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7E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97E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97E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97E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İnegöl Fabrikası Yatırımı</w:t>
            </w:r>
          </w:p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İnegöl Plant Investment</w:t>
            </w:r>
          </w:p>
        </w:tc>
        <w:tc>
          <w:tcPr>
            <w:tcW w:w="2043" w:type="dxa"/>
          </w:tcPr>
          <w:p w:rsidR="00000000" w:rsidRDefault="00F97EC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01/12/2006-31/07/2007</w:t>
            </w:r>
          </w:p>
        </w:tc>
        <w:tc>
          <w:tcPr>
            <w:tcW w:w="2214" w:type="dxa"/>
          </w:tcPr>
          <w:p w:rsidR="00000000" w:rsidRDefault="00F97EC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32.800.000</w:t>
            </w:r>
          </w:p>
        </w:tc>
        <w:tc>
          <w:tcPr>
            <w:tcW w:w="1843" w:type="dxa"/>
          </w:tcPr>
          <w:p w:rsidR="00000000" w:rsidRDefault="00F97EC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t>ntalya Fabrikası Yatırımı</w:t>
            </w:r>
          </w:p>
          <w:p w:rsidR="00000000" w:rsidRDefault="00F97E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 Plant Investment</w:t>
            </w:r>
          </w:p>
        </w:tc>
        <w:tc>
          <w:tcPr>
            <w:tcW w:w="2043" w:type="dxa"/>
          </w:tcPr>
          <w:p w:rsidR="00000000" w:rsidRDefault="00F97EC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03/04/2007-31/12/2007</w:t>
            </w:r>
          </w:p>
        </w:tc>
        <w:tc>
          <w:tcPr>
            <w:tcW w:w="2214" w:type="dxa"/>
          </w:tcPr>
          <w:p w:rsidR="00000000" w:rsidRDefault="00F97EC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7.300.000</w:t>
            </w:r>
          </w:p>
        </w:tc>
        <w:tc>
          <w:tcPr>
            <w:tcW w:w="1843" w:type="dxa"/>
          </w:tcPr>
          <w:p w:rsidR="00000000" w:rsidRDefault="00F97EC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7.330.000</w:t>
            </w:r>
          </w:p>
        </w:tc>
      </w:tr>
    </w:tbl>
    <w:p w:rsidR="00000000" w:rsidRDefault="00F97EC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7EC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97E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7E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</w:t>
            </w:r>
            <w:r>
              <w:rPr>
                <w:rFonts w:ascii="Arial" w:hAnsi="Arial"/>
                <w:i/>
                <w:sz w:val="16"/>
              </w:rPr>
              <w:t xml:space="preserve"> capital are shown below.</w:t>
            </w:r>
          </w:p>
        </w:tc>
      </w:tr>
    </w:tbl>
    <w:p w:rsidR="00000000" w:rsidRDefault="00F97EC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7E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97E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97E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7E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97E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97E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7E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 DÖNÜŞEN KAĞIT HAMMADDELERİ SAN. VE TİC. A.Ş.</w:t>
            </w:r>
          </w:p>
        </w:tc>
        <w:tc>
          <w:tcPr>
            <w:tcW w:w="2304" w:type="dxa"/>
          </w:tcPr>
          <w:p w:rsidR="00000000" w:rsidRDefault="00F97E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150,000</w:t>
            </w:r>
          </w:p>
        </w:tc>
        <w:tc>
          <w:tcPr>
            <w:tcW w:w="2342" w:type="dxa"/>
          </w:tcPr>
          <w:p w:rsidR="00000000" w:rsidRDefault="00F97E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29,98</w:t>
            </w:r>
          </w:p>
        </w:tc>
      </w:tr>
    </w:tbl>
    <w:p w:rsidR="00000000" w:rsidRDefault="00F97EC9">
      <w:pPr>
        <w:rPr>
          <w:rFonts w:ascii="Arial" w:hAnsi="Arial"/>
          <w:color w:val="FF0000"/>
          <w:sz w:val="16"/>
        </w:rPr>
      </w:pPr>
    </w:p>
    <w:p w:rsidR="00000000" w:rsidRDefault="00F97EC9">
      <w:pPr>
        <w:rPr>
          <w:rFonts w:ascii="Arial" w:hAnsi="Arial"/>
          <w:color w:val="FF0000"/>
          <w:sz w:val="16"/>
        </w:rPr>
      </w:pPr>
    </w:p>
    <w:p w:rsidR="00000000" w:rsidRDefault="00F97EC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7EC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</w:t>
            </w:r>
            <w:r>
              <w:rPr>
                <w:rFonts w:ascii="Arial TUR" w:hAnsi="Arial TUR"/>
                <w:sz w:val="16"/>
              </w:rPr>
              <w:t xml:space="preserve">da gösterilmektedir. </w:t>
            </w:r>
          </w:p>
        </w:tc>
        <w:tc>
          <w:tcPr>
            <w:tcW w:w="1134" w:type="dxa"/>
          </w:tcPr>
          <w:p w:rsidR="00000000" w:rsidRDefault="00F97E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7E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97EC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7E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97E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97E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7E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97E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97E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97EC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97E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ÖMER SABANCI HOLDING A.Ş.</w:t>
            </w:r>
          </w:p>
        </w:tc>
        <w:tc>
          <w:tcPr>
            <w:tcW w:w="1892" w:type="dxa"/>
          </w:tcPr>
          <w:p w:rsidR="00000000" w:rsidRDefault="00F97E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14.257.139</w:t>
            </w:r>
          </w:p>
        </w:tc>
        <w:tc>
          <w:tcPr>
            <w:tcW w:w="2410" w:type="dxa"/>
          </w:tcPr>
          <w:p w:rsidR="00000000" w:rsidRDefault="00F97E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97E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</w:t>
            </w:r>
            <w:r>
              <w:rPr>
                <w:rFonts w:ascii="Arial" w:hAnsi="Arial"/>
                <w:color w:val="000000"/>
                <w:sz w:val="16"/>
              </w:rPr>
              <w:t>ERNATIONAL PAPER HOLDING CO.</w:t>
            </w:r>
          </w:p>
        </w:tc>
        <w:tc>
          <w:tcPr>
            <w:tcW w:w="1892" w:type="dxa"/>
          </w:tcPr>
          <w:p w:rsidR="00000000" w:rsidRDefault="00F97E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10.152.715</w:t>
            </w:r>
          </w:p>
        </w:tc>
        <w:tc>
          <w:tcPr>
            <w:tcW w:w="2410" w:type="dxa"/>
          </w:tcPr>
          <w:p w:rsidR="00000000" w:rsidRDefault="00F97E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97E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UNION CAMP CO BV</w:t>
            </w:r>
          </w:p>
        </w:tc>
        <w:tc>
          <w:tcPr>
            <w:tcW w:w="1892" w:type="dxa"/>
          </w:tcPr>
          <w:p w:rsidR="00000000" w:rsidRDefault="00F97E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4.104.423</w:t>
            </w:r>
          </w:p>
        </w:tc>
        <w:tc>
          <w:tcPr>
            <w:tcW w:w="2410" w:type="dxa"/>
          </w:tcPr>
          <w:p w:rsidR="00000000" w:rsidRDefault="00F97E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97E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:rsidR="00000000" w:rsidRDefault="00F97E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4.088.223</w:t>
            </w:r>
          </w:p>
        </w:tc>
        <w:tc>
          <w:tcPr>
            <w:tcW w:w="2410" w:type="dxa"/>
          </w:tcPr>
          <w:p w:rsidR="00000000" w:rsidRDefault="00F97E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97EC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97E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97EC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F97EC9">
      <w:pPr>
        <w:jc w:val="both"/>
        <w:rPr>
          <w:rFonts w:ascii="Arial" w:hAnsi="Arial"/>
          <w:sz w:val="18"/>
        </w:rPr>
      </w:pPr>
    </w:p>
    <w:p w:rsidR="00000000" w:rsidRDefault="00F97EC9">
      <w:pPr>
        <w:jc w:val="both"/>
        <w:rPr>
          <w:rFonts w:ascii="Arial" w:hAnsi="Arial"/>
          <w:sz w:val="18"/>
        </w:rPr>
      </w:pPr>
    </w:p>
    <w:p w:rsidR="00000000" w:rsidRDefault="00F97EC9">
      <w:pPr>
        <w:ind w:left="1416"/>
      </w:pPr>
    </w:p>
    <w:p w:rsidR="00000000" w:rsidRDefault="00F97EC9">
      <w:pPr>
        <w:ind w:left="360"/>
      </w:pPr>
      <w:r>
        <w:t>Olmuksa International Paper Sabancı Ambalaj Sanayi ve Ticaret A.Ş.(OLMUKSA) ‘nın toplam sermayesinin % 31,14 ‘üne doğrudan sahip olan Internatıo</w:t>
      </w:r>
      <w:r>
        <w:t>nal Paper (Turkey) Holding Company  isimli şirket 3 Ekim 2007 tarihi itibariyle feshedilmiştir. Fesih işleminin bir sonucu olarak Internatıonal Paper Company (IPCO), hisselerinin tamamına sahip olduğu Internatıonal Paper (Turkey) Holding Company’nin nama y</w:t>
      </w:r>
      <w:r>
        <w:t>azılı 10.152.714,77 YTL’lik OLMUKSA hisse senetlerinin doğrudan sahibi haline gelmiştir. IPCO, hisselerinin tamamına sahip olduğu bağlı şirketi Union Camp Holding B.V.‘e OLMUKSA’nın toplam sermayesinin % 31,14’üne karşılık gelmekte olan 10.152.714,77 YTL’l</w:t>
      </w:r>
      <w:r>
        <w:t>ik hisse senetlerini ayni sermaye olarak koymuştur. Böylece 4 Ekim 2007 tarihinde Union Camp Holding B.V şirketi, OLMUKSA’nın %43,73’lük doğrudan hissedarı haline gelmiştir. Konuyla ilgili Yönetim Kurulu Kararı 01 Şubat 2008’de alınmıştır.</w:t>
      </w:r>
    </w:p>
    <w:p w:rsidR="00000000" w:rsidRDefault="00F97EC9"/>
    <w:p w:rsidR="00000000" w:rsidRDefault="00F97EC9">
      <w:pPr>
        <w:jc w:val="both"/>
      </w:pPr>
    </w:p>
    <w:p w:rsidR="00000000" w:rsidRDefault="00F97EC9">
      <w:pPr>
        <w:jc w:val="both"/>
      </w:pPr>
    </w:p>
    <w:p w:rsidR="00000000" w:rsidRDefault="00F97EC9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EC9"/>
    <w:rsid w:val="00F9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9AFED-0B31-4C5F-A52F-71AD9F7D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2008-04-18T14:20:00Z</cp:lastPrinted>
  <dcterms:created xsi:type="dcterms:W3CDTF">2022-09-01T21:38:00Z</dcterms:created>
  <dcterms:modified xsi:type="dcterms:W3CDTF">2022-09-01T21:38:00Z</dcterms:modified>
</cp:coreProperties>
</file>