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541D">
            <w:pPr>
              <w:pStyle w:val="Heading2"/>
            </w:pPr>
            <w:r>
              <w:t>SODA SANAYİİ A.Ş.</w:t>
            </w:r>
          </w:p>
        </w:tc>
      </w:tr>
    </w:tbl>
    <w:p w:rsidR="00000000" w:rsidRDefault="00F9541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TA</w:t>
            </w:r>
            <w:r>
              <w:rPr>
                <w:rFonts w:ascii="Arial" w:hAnsi="Arial"/>
                <w:sz w:val="16"/>
              </w:rPr>
              <w:t>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SODAASH, LİGHT SODAASH, HEAVY SODAASH, SODIUM BICARBONATE, SODİUM SİLİCATE, SODIUM DICROMATE, SODIUM SULPHIDE,  SODIUM SULPHATE , BASİC  CHROMIUM SULPHATE  (TANKR</w:t>
            </w:r>
            <w:r>
              <w:rPr>
                <w:rFonts w:ascii="Arial" w:hAnsi="Arial"/>
                <w:sz w:val="16"/>
              </w:rPr>
              <w:t>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KULE-3   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IS TOWERS TOWER-3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AYHAN YIL</w:t>
            </w:r>
            <w:r>
              <w:rPr>
                <w:rFonts w:ascii="Arial" w:hAnsi="Arial"/>
                <w:sz w:val="16"/>
              </w:rPr>
              <w:t>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 TEVFİK ATEŞ KUT </w:t>
            </w:r>
          </w:p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ÇAMLI</w:t>
            </w:r>
          </w:p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 ATUKALP</w:t>
            </w:r>
          </w:p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ÖZGÜN ÇINAR</w:t>
            </w:r>
          </w:p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İHSAN ORHON</w:t>
            </w:r>
          </w:p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LEVENT KORBA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212 350 58 60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 memur 1281 işçi 7 geçici işçi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PETROLEUM OIL CHEMICAL RUBBER WORKERS TRADE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201.433.624.-YTL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201.433.624.-YTL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ENMİŞ SERMAYE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pStyle w:val="Heading1"/>
              <w:rPr>
                <w:rFonts w:ascii="Arial TUR" w:hAnsi="Arial TUR"/>
                <w:lang w:val="tr-TR"/>
              </w:rPr>
            </w:pPr>
            <w:r>
              <w:rPr>
                <w:color w:val="000000"/>
                <w:lang w:val="tr-TR"/>
              </w:rPr>
              <w:t>201.433.624.-YTL</w:t>
            </w:r>
            <w:r>
              <w:rPr>
                <w:rFonts w:ascii="Arial TUR" w:hAnsi="Arial TUR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54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ISE NATIONAL MARKET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54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954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54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F9541D">
      <w:pPr>
        <w:rPr>
          <w:rFonts w:ascii="Arial TUR" w:hAnsi="Arial TUR"/>
          <w:sz w:val="16"/>
        </w:rPr>
      </w:pPr>
    </w:p>
    <w:p w:rsidR="00000000" w:rsidRDefault="00F9541D">
      <w:pPr>
        <w:rPr>
          <w:rFonts w:ascii="Arial TUR" w:hAnsi="Arial TUR"/>
          <w:sz w:val="16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1134"/>
        <w:gridCol w:w="1134"/>
        <w:gridCol w:w="1418"/>
        <w:gridCol w:w="818"/>
        <w:gridCol w:w="32"/>
        <w:gridCol w:w="1135"/>
        <w:gridCol w:w="851"/>
        <w:gridCol w:w="1276"/>
        <w:gridCol w:w="11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1807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Sodyum                                                                                                                           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Karbonat  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(Ton)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1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K.K.O.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Sodyum Silikat (Ton)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F954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Sodyum</w:t>
            </w:r>
          </w:p>
          <w:p w:rsidR="00000000" w:rsidRDefault="00F954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Bikromat         </w:t>
            </w:r>
          </w:p>
          <w:p w:rsidR="00000000" w:rsidRDefault="00F954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(Ton)</w:t>
            </w:r>
          </w:p>
        </w:tc>
        <w:tc>
          <w:tcPr>
            <w:tcW w:w="1169" w:type="dxa"/>
          </w:tcPr>
          <w:p w:rsidR="00000000" w:rsidRDefault="00F954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</w:t>
            </w:r>
            <w:r>
              <w:rPr>
                <w:rFonts w:ascii="Arial" w:hAnsi="Arial"/>
                <w:b/>
                <w:sz w:val="16"/>
              </w:rPr>
              <w:t>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818.634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107.712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21.127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64.133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765.523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103.050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22.748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58.311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Tankrom 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       </w:t>
            </w:r>
            <w:r>
              <w:rPr>
                <w:rFonts w:ascii="Arial" w:hAnsi="Arial"/>
                <w:b/>
                <w:sz w:val="16"/>
              </w:rPr>
              <w:t xml:space="preserve">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95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</w:tcPr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56.976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79.818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15.792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F9541D">
            <w:pPr>
              <w:ind w:left="-3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F954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50.488</w:t>
            </w:r>
          </w:p>
        </w:tc>
        <w:tc>
          <w:tcPr>
            <w:tcW w:w="113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76.830</w:t>
            </w:r>
          </w:p>
        </w:tc>
        <w:tc>
          <w:tcPr>
            <w:tcW w:w="850" w:type="dxa"/>
            <w:gridSpan w:val="2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851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69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9541D">
      <w:pPr>
        <w:rPr>
          <w:rFonts w:ascii="Arial TUR" w:hAnsi="Arial TUR"/>
          <w:sz w:val="16"/>
        </w:rPr>
      </w:pPr>
    </w:p>
    <w:p w:rsidR="00000000" w:rsidRDefault="00F9541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>K.K.O.-Kapasite Kullanım Oranı</w:t>
      </w:r>
    </w:p>
    <w:p w:rsidR="00000000" w:rsidRDefault="00F9541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54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954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54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710"/>
        <w:gridCol w:w="1134"/>
        <w:gridCol w:w="1134"/>
        <w:gridCol w:w="992"/>
        <w:gridCol w:w="1134"/>
        <w:gridCol w:w="992"/>
        <w:gridCol w:w="993"/>
        <w:gridCol w:w="1134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odyum Bikarbonat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ind w:left="34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ind w:right="-2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odium Sulphide (Tons)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</w:t>
            </w:r>
          </w:p>
          <w:p w:rsidR="00000000" w:rsidRDefault="00F9541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986.421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111.593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21.074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9.353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4.340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43.384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74.856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16.355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891.865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105.062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21.864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7.829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4.671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39.000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65.398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541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13.421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54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954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54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552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954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44.920.442</w:t>
            </w:r>
          </w:p>
          <w:p w:rsidR="00000000" w:rsidRDefault="00F954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36.369.267</w:t>
            </w:r>
          </w:p>
        </w:tc>
        <w:tc>
          <w:tcPr>
            <w:tcW w:w="2410" w:type="dxa"/>
          </w:tcPr>
          <w:p w:rsidR="00000000" w:rsidRDefault="00F9541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16</w:t>
            </w:r>
          </w:p>
        </w:tc>
        <w:tc>
          <w:tcPr>
            <w:tcW w:w="1984" w:type="dxa"/>
          </w:tcPr>
          <w:p w:rsidR="00000000" w:rsidRDefault="00F9541D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199.151.452</w:t>
            </w:r>
          </w:p>
          <w:p w:rsidR="00000000" w:rsidRDefault="00F9541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152.294.139 </w:t>
            </w:r>
          </w:p>
        </w:tc>
        <w:tc>
          <w:tcPr>
            <w:tcW w:w="2552" w:type="dxa"/>
          </w:tcPr>
          <w:p w:rsidR="00000000" w:rsidRDefault="00F9541D">
            <w:pPr>
              <w:tabs>
                <w:tab w:val="left" w:pos="1529"/>
              </w:tabs>
              <w:ind w:right="9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9541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49.847.605</w:t>
            </w:r>
          </w:p>
          <w:p w:rsidR="00000000" w:rsidRDefault="00F9541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34.024</w:t>
            </w:r>
            <w:r>
              <w:rPr>
                <w:rFonts w:ascii="Arial" w:hAnsi="Arial"/>
                <w:sz w:val="16"/>
              </w:rPr>
              <w:t>.331</w:t>
            </w:r>
          </w:p>
          <w:p w:rsidR="00000000" w:rsidRDefault="00F9541D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9541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984" w:type="dxa"/>
          </w:tcPr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197.038.194</w:t>
            </w:r>
          </w:p>
          <w:p w:rsidR="00000000" w:rsidRDefault="00F95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137.849.084</w:t>
            </w:r>
          </w:p>
        </w:tc>
        <w:tc>
          <w:tcPr>
            <w:tcW w:w="2552" w:type="dxa"/>
          </w:tcPr>
          <w:p w:rsidR="00000000" w:rsidRDefault="00F9541D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54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541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54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541D">
      <w:pPr>
        <w:ind w:right="-618"/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</w:t>
            </w:r>
            <w:r>
              <w:rPr>
                <w:rFonts w:ascii="Arial TUR" w:hAnsi="Arial TUR"/>
                <w:b/>
                <w:color w:val="000000"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Fırın Refrakter          </w:t>
            </w:r>
          </w:p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  <w:u w:val="single"/>
              </w:rPr>
              <w:t>Refractory Brick for Kiln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31.05.2007 - 30.06.2008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988.643</w:t>
            </w:r>
          </w:p>
          <w:p w:rsidR="00000000" w:rsidRDefault="00F9541D">
            <w:pPr>
              <w:ind w:right="82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479.747,39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Dekarbo</w:t>
            </w:r>
            <w:r>
              <w:rPr>
                <w:rFonts w:ascii="Arial TUR" w:hAnsi="Arial TUR"/>
                <w:sz w:val="16"/>
              </w:rPr>
              <w:t xml:space="preserve">nasyon Kolonu                     </w:t>
            </w:r>
            <w:r>
              <w:rPr>
                <w:rFonts w:ascii="Arial TUR" w:hAnsi="Arial TUR"/>
                <w:sz w:val="16"/>
                <w:u w:val="single"/>
              </w:rPr>
              <w:t>Decarbonation Column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31.05.2007 - 30.06.2008</w:t>
            </w:r>
          </w:p>
        </w:tc>
        <w:tc>
          <w:tcPr>
            <w:tcW w:w="2268" w:type="dxa"/>
          </w:tcPr>
          <w:p w:rsidR="00000000" w:rsidRDefault="00F9541D">
            <w:pPr>
              <w:ind w:left="679" w:right="-30" w:hanging="2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449.382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296.389,74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Karbonasyon Kolonu                          </w:t>
            </w:r>
            <w:r>
              <w:rPr>
                <w:rFonts w:ascii="Arial TUR" w:hAnsi="Arial TUR"/>
                <w:sz w:val="16"/>
                <w:u w:val="single"/>
              </w:rPr>
              <w:t>Carbonation Colomn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31.05.2007 - 30.06.2008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1.118.434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12.856,66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Absorbsiyon Sistemi                           </w:t>
            </w:r>
            <w:r>
              <w:rPr>
                <w:rFonts w:ascii="Arial TUR" w:hAnsi="Arial TUR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  <w:u w:val="single"/>
              </w:rPr>
              <w:t>Absorption System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30.06.2007 - 30.09.2008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1.951.669</w:t>
            </w:r>
          </w:p>
          <w:p w:rsidR="00000000" w:rsidRDefault="00F9541D">
            <w:pPr>
              <w:ind w:right="82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19.474,15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Genel Hizmet Binası                             </w:t>
            </w:r>
            <w:r>
              <w:rPr>
                <w:rFonts w:ascii="Arial TUR" w:hAnsi="Arial TUR"/>
                <w:sz w:val="16"/>
                <w:u w:val="single"/>
              </w:rPr>
              <w:t>General Service Bulding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30.09.2007 - 30.11.2008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3.441.838</w:t>
            </w:r>
          </w:p>
          <w:p w:rsidR="00000000" w:rsidRDefault="00F9541D">
            <w:pPr>
              <w:ind w:right="82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43.376,00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Kalsiner Sistemi </w:t>
            </w:r>
          </w:p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  <w:u w:val="single"/>
              </w:rPr>
              <w:t>Calciner System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31.05.2007 - 31.03.2008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990.650</w:t>
            </w:r>
          </w:p>
          <w:p w:rsidR="00000000" w:rsidRDefault="00F9541D">
            <w:pPr>
              <w:ind w:right="82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983.065,81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Kireç Fırını </w:t>
            </w:r>
          </w:p>
          <w:p w:rsidR="00000000" w:rsidRDefault="00F954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  <w:u w:val="single"/>
              </w:rPr>
              <w:t>Lime Kiln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31.12.2007 – 31.07.2008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2.056.</w:t>
            </w:r>
            <w:r>
              <w:rPr>
                <w:rFonts w:ascii="Arial TUR" w:hAnsi="Arial TUR"/>
                <w:sz w:val="16"/>
              </w:rPr>
              <w:t>060</w:t>
            </w:r>
          </w:p>
          <w:p w:rsidR="00000000" w:rsidRDefault="00F9541D">
            <w:pPr>
              <w:ind w:right="82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13.390,34</w:t>
            </w:r>
          </w:p>
          <w:p w:rsidR="00000000" w:rsidRDefault="00F9541D">
            <w:pPr>
              <w:ind w:right="537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 Teknolojik atıkların nihai nihai bertarafı (KR 46)  </w:t>
            </w:r>
          </w:p>
          <w:p w:rsidR="00000000" w:rsidRDefault="00F9541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The Treatment of The Chromium Ore Processing Residues of the Lime Technology (KR 46)</w:t>
            </w:r>
          </w:p>
          <w:p w:rsidR="00000000" w:rsidRDefault="00F9541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2009</w:t>
            </w:r>
          </w:p>
          <w:p w:rsidR="00000000" w:rsidRDefault="00F9541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9.308.000</w:t>
            </w:r>
          </w:p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ind w:lef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712.980</w:t>
            </w:r>
          </w:p>
          <w:p w:rsidR="00000000" w:rsidRDefault="00F9541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541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Sodyum Süşfat  Saflaştırma (KR 49) </w:t>
            </w: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  <w:p w:rsidR="00000000" w:rsidRDefault="00F9541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Sodium Sulphate Purifica</w:t>
            </w:r>
            <w:r>
              <w:rPr>
                <w:rFonts w:ascii="Tahoma" w:hAnsi="Tahoma"/>
              </w:rPr>
              <w:t>tion (KR 49)</w:t>
            </w:r>
          </w:p>
          <w:p w:rsidR="00000000" w:rsidRDefault="00F9541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2006 – 03.2008</w:t>
            </w:r>
          </w:p>
        </w:tc>
        <w:tc>
          <w:tcPr>
            <w:tcW w:w="2268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8.531.000</w:t>
            </w:r>
          </w:p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2.052.097</w:t>
            </w:r>
          </w:p>
          <w:p w:rsidR="00000000" w:rsidRDefault="00F9541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9541D">
      <w:pPr>
        <w:pStyle w:val="BodyText2"/>
        <w:rPr>
          <w:rFonts w:ascii="Arial TUR" w:hAnsi="Arial TUR"/>
          <w:lang w:val="tr-TR"/>
        </w:rPr>
      </w:pPr>
    </w:p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96"/>
        <w:gridCol w:w="24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6" w:type="dxa"/>
          </w:tcPr>
          <w:p w:rsidR="00000000" w:rsidRDefault="00F954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1" w:type="dxa"/>
          </w:tcPr>
          <w:p w:rsidR="00000000" w:rsidRDefault="00F9541D">
            <w:pPr>
              <w:ind w:left="-151" w:firstLine="15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54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6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A.Ş.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6.335.067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42.914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OXYVİT KİMYA SAN.A.Ş.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523.282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SAN.A.Ş.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20.948.535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CROMITAL S.P.A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2.171.610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SOLVAY ŞİŞE CAM HOLDİNG AG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44.683.745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BULGARİA LTD.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5.813 YTL 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ŞHANGAI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655.448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SİNTAN KİMYA SAN.VE TİC.A.Ş.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264.000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SODA LUKAVAC D.O.O.</w:t>
            </w:r>
          </w:p>
        </w:tc>
        <w:tc>
          <w:tcPr>
            <w:tcW w:w="2304" w:type="dxa"/>
          </w:tcPr>
          <w:p w:rsidR="00000000" w:rsidRDefault="00F954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83.512.828 YTL</w:t>
            </w:r>
          </w:p>
        </w:tc>
        <w:tc>
          <w:tcPr>
            <w:tcW w:w="2342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</w:t>
            </w:r>
          </w:p>
        </w:tc>
      </w:tr>
    </w:tbl>
    <w:p w:rsidR="00000000" w:rsidRDefault="00F9541D">
      <w:pPr>
        <w:rPr>
          <w:rFonts w:ascii="Arial" w:hAnsi="Arial"/>
          <w:color w:val="FF0000"/>
          <w:sz w:val="16"/>
        </w:rPr>
      </w:pPr>
    </w:p>
    <w:p w:rsidR="00000000" w:rsidRDefault="00F9541D">
      <w:pPr>
        <w:rPr>
          <w:rFonts w:ascii="Arial" w:hAnsi="Arial"/>
          <w:color w:val="FF0000"/>
          <w:sz w:val="16"/>
        </w:rPr>
      </w:pPr>
    </w:p>
    <w:p w:rsidR="00000000" w:rsidRDefault="00F9541D">
      <w:pPr>
        <w:rPr>
          <w:rFonts w:ascii="Arial" w:hAnsi="Arial"/>
          <w:color w:val="FF0000"/>
          <w:sz w:val="16"/>
        </w:rPr>
      </w:pPr>
    </w:p>
    <w:p w:rsidR="00000000" w:rsidRDefault="00F9541D">
      <w:pPr>
        <w:rPr>
          <w:rFonts w:ascii="Arial" w:hAnsi="Arial"/>
          <w:color w:val="FF0000"/>
          <w:sz w:val="16"/>
        </w:rPr>
      </w:pPr>
    </w:p>
    <w:p w:rsidR="00000000" w:rsidRDefault="00F9541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284" w:type="dxa"/>
        <w:tblLayout w:type="fixed"/>
        <w:tblLook w:val="0000" w:firstRow="0" w:lastRow="0" w:firstColumn="0" w:lastColumn="0" w:noHBand="0" w:noVBand="0"/>
      </w:tblPr>
      <w:tblGrid>
        <w:gridCol w:w="4296"/>
        <w:gridCol w:w="241"/>
        <w:gridCol w:w="4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6" w:type="dxa"/>
          </w:tcPr>
          <w:p w:rsidR="00000000" w:rsidRDefault="00F954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F954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00000" w:rsidRDefault="00F954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541D">
      <w:pPr>
        <w:rPr>
          <w:rFonts w:ascii="Arial" w:hAnsi="Arial"/>
          <w:sz w:val="16"/>
        </w:rPr>
      </w:pPr>
    </w:p>
    <w:tbl>
      <w:tblPr>
        <w:tblW w:w="0" w:type="auto"/>
        <w:tblInd w:w="-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4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46" w:type="dxa"/>
          </w:tcPr>
          <w:p w:rsidR="00000000" w:rsidRDefault="00F954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954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46" w:type="dxa"/>
          </w:tcPr>
          <w:p w:rsidR="00000000" w:rsidRDefault="00F954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954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9541D"/>
    <w:tbl>
      <w:tblPr>
        <w:tblW w:w="0" w:type="auto"/>
        <w:tblInd w:w="-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6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62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:rsidR="00000000" w:rsidRDefault="00F954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142.363.651</w:t>
            </w:r>
          </w:p>
        </w:tc>
        <w:tc>
          <w:tcPr>
            <w:tcW w:w="2410" w:type="dxa"/>
          </w:tcPr>
          <w:p w:rsidR="00000000" w:rsidRDefault="00F9541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70.675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62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</w:t>
            </w:r>
            <w:r>
              <w:rPr>
                <w:rFonts w:ascii="Arial" w:hAnsi="Arial"/>
                <w:color w:val="000000"/>
                <w:sz w:val="16"/>
              </w:rPr>
              <w:t xml:space="preserve"> CAM SAN.A.Ş.</w:t>
            </w:r>
          </w:p>
        </w:tc>
        <w:tc>
          <w:tcPr>
            <w:tcW w:w="1892" w:type="dxa"/>
          </w:tcPr>
          <w:p w:rsidR="00000000" w:rsidRDefault="00F954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28.688.933</w:t>
            </w:r>
          </w:p>
        </w:tc>
        <w:tc>
          <w:tcPr>
            <w:tcW w:w="2410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62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F954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76.911</w:t>
            </w:r>
          </w:p>
        </w:tc>
        <w:tc>
          <w:tcPr>
            <w:tcW w:w="2410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62" w:type="dxa"/>
          </w:tcPr>
          <w:p w:rsidR="00000000" w:rsidRDefault="00F954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TOPLULUK DIŞI</w:t>
            </w:r>
          </w:p>
        </w:tc>
        <w:tc>
          <w:tcPr>
            <w:tcW w:w="1892" w:type="dxa"/>
          </w:tcPr>
          <w:p w:rsidR="00000000" w:rsidRDefault="00F954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30.304.129</w:t>
            </w:r>
          </w:p>
        </w:tc>
        <w:tc>
          <w:tcPr>
            <w:tcW w:w="2410" w:type="dxa"/>
          </w:tcPr>
          <w:p w:rsidR="00000000" w:rsidRDefault="00F954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15.044</w:t>
            </w:r>
          </w:p>
        </w:tc>
      </w:tr>
    </w:tbl>
    <w:p w:rsidR="00000000" w:rsidRDefault="00F9541D">
      <w:pPr>
        <w:pStyle w:val="BodyText"/>
        <w:rPr>
          <w:rFonts w:ascii="Arial TUR" w:hAnsi="Arial TUR"/>
          <w:lang w:val="tr-TR"/>
        </w:rPr>
      </w:pPr>
    </w:p>
    <w:p w:rsidR="00000000" w:rsidRDefault="00F9541D">
      <w:pPr>
        <w:pStyle w:val="BodyText"/>
        <w:rPr>
          <w:rFonts w:ascii="Arial TUR" w:hAnsi="Arial TUR"/>
          <w:lang w:val="tr-TR"/>
        </w:rPr>
      </w:pPr>
    </w:p>
    <w:p w:rsidR="00000000" w:rsidRDefault="00F9541D">
      <w:pPr>
        <w:pStyle w:val="BodyText"/>
        <w:rPr>
          <w:rFonts w:ascii="Arial TUR" w:hAnsi="Arial TUR"/>
          <w:lang w:val="tr-TR"/>
        </w:rPr>
      </w:pPr>
    </w:p>
    <w:p w:rsidR="00000000" w:rsidRDefault="00F9541D">
      <w:pPr>
        <w:pStyle w:val="BodyText"/>
        <w:rPr>
          <w:rFonts w:ascii="Arial TUR" w:hAnsi="Arial TUR"/>
          <w:lang w:val="tr-TR"/>
        </w:rPr>
      </w:pPr>
    </w:p>
    <w:p w:rsidR="00000000" w:rsidRDefault="00F9541D">
      <w:pPr>
        <w:pStyle w:val="BodyText"/>
        <w:rPr>
          <w:rFonts w:ascii="Arial TUR" w:hAnsi="Arial TUR"/>
          <w:lang w:val="tr-TR"/>
        </w:rPr>
      </w:pPr>
    </w:p>
    <w:p w:rsidR="00000000" w:rsidRDefault="00F9541D">
      <w:pPr>
        <w:pStyle w:val="BodyText"/>
        <w:rPr>
          <w:rFonts w:ascii="Arial TUR" w:hAnsi="Arial TUR"/>
          <w:lang w:val="tr-TR"/>
        </w:rPr>
      </w:pPr>
    </w:p>
    <w:p w:rsidR="00000000" w:rsidRDefault="00F9541D">
      <w:pPr>
        <w:pStyle w:val="BodyText"/>
        <w:rPr>
          <w:rFonts w:ascii="Arial TUR" w:hAnsi="Arial TUR"/>
          <w:lang w:val="tr-TR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41D"/>
    <w:rsid w:val="00F9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8F3518-1AE9-463F-BB1C-5040EC09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2008-04-17T20:18:00Z</cp:lastPrinted>
  <dcterms:created xsi:type="dcterms:W3CDTF">2022-09-01T21:39:00Z</dcterms:created>
  <dcterms:modified xsi:type="dcterms:W3CDTF">2022-09-01T21:39:00Z</dcterms:modified>
</cp:coreProperties>
</file>