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1C9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TEKFEN HOLDİNG A.Ş.</w:t>
            </w:r>
          </w:p>
        </w:tc>
      </w:tr>
    </w:tbl>
    <w:p w:rsidR="00000000" w:rsidRDefault="00791C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268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11.06.1971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KURULMUŞ VEYA KURULACAK HERHANGİ BİR KONUDA İŞTİGAL EDEN YERLİ VE YABANCİ ANONİM VE LİMİTED ŞİRKETLERİN SERMAYELERİNE VE YÖNETİMLERİNE KATILABİLECEĞİ Gİ</w:t>
            </w:r>
            <w:r>
              <w:rPr>
                <w:rFonts w:ascii="Arial" w:hAnsi="Arial"/>
                <w:sz w:val="16"/>
              </w:rPr>
              <w:t xml:space="preserve">Bİ,YERLİ VE YABANCI HOLDİNGLERLE KISA VEYA UZUN SÜRELİ ADİ ORTAKLIKLAR TESİS EDEBİLİR,BUNLARLA GEÇİCİ İŞTİRAKLER KURABİLİR VEYA MALİ MESULİYET TEVZİİNE DAYANAN ANLAŞMALAR YAPABİLİR.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MAHALLESİ AYDINLIK SOKAK T</w:t>
            </w:r>
            <w:r>
              <w:rPr>
                <w:rFonts w:ascii="Arial" w:hAnsi="Arial"/>
                <w:sz w:val="16"/>
              </w:rPr>
              <w:t xml:space="preserve">EKFEN SİTESİ  A BLOK NO:7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34340 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NİHAT GÖKYİĞİT        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(YÖNETİM KURULU BAŞKANI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FEYYAZ BERKER           </w:t>
            </w: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(YÖNETİM KURULU BAŞKAN VEKİLİ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CANSEVİL AKÇAĞLILAR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(YÖNETİM KURULU BAŞKAN VEKİLİ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 LEYLA AKÇAĞLILAR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(YÖNETİM KURULU ÜYESİ)               </w:t>
            </w:r>
            <w:r>
              <w:rPr>
                <w:rFonts w:ascii="Arial" w:hAnsi="Arial"/>
                <w:sz w:val="16"/>
              </w:rPr>
              <w:t xml:space="preserve">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MELTEM BERKER                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(YÖNETİM KURULU ÜYESİ)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GİGİN         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(YÖNETİM KURULU ÜYESİ)                         </w:t>
            </w:r>
            <w:r>
              <w:rPr>
                <w:rFonts w:ascii="Arial" w:hAnsi="Arial"/>
                <w:sz w:val="16"/>
              </w:rPr>
              <w:t xml:space="preserve">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ŞEFİKA PEKİN                    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(YÖNETİM KURULU ÜYESİ)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RÜŞDÜ SARAÇOĞLU                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(YÖNETİM KURULU ÜYESİ)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SEYMUR SUBAŞI</w:t>
            </w:r>
          </w:p>
        </w:tc>
        <w:tc>
          <w:tcPr>
            <w:tcW w:w="42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(YÖNETİM KURU</w:t>
            </w:r>
            <w:r>
              <w:rPr>
                <w:rFonts w:ascii="Arial" w:hAnsi="Arial"/>
                <w:sz w:val="16"/>
              </w:rPr>
              <w:t>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212 359 3300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212 257 0081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tekfen@tekfen.com.tr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296.775.000,00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3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</w:t>
            </w:r>
            <w:r>
              <w:rPr>
                <w:rFonts w:ascii="Arial" w:hAnsi="Arial"/>
                <w:sz w:val="16"/>
              </w:rPr>
              <w:t>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91C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91C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91C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791C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91C9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91C9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3543" w:type="dxa"/>
          </w:tcPr>
          <w:p w:rsidR="00000000" w:rsidRDefault="00791C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91C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791C9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7.326.000</w:t>
            </w:r>
          </w:p>
        </w:tc>
        <w:tc>
          <w:tcPr>
            <w:tcW w:w="3543" w:type="dxa"/>
          </w:tcPr>
          <w:p w:rsidR="00000000" w:rsidRDefault="00791C9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91C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791C9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9.270.000</w:t>
            </w:r>
          </w:p>
        </w:tc>
        <w:tc>
          <w:tcPr>
            <w:tcW w:w="3543" w:type="dxa"/>
          </w:tcPr>
          <w:p w:rsidR="00000000" w:rsidRDefault="00791C9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%0,53</w:t>
            </w:r>
          </w:p>
        </w:tc>
      </w:tr>
    </w:tbl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p w:rsidR="00000000" w:rsidRDefault="00791C99">
      <w:pPr>
        <w:rPr>
          <w:rFonts w:ascii="Arial" w:hAnsi="Arial"/>
          <w:sz w:val="16"/>
        </w:rPr>
      </w:pPr>
    </w:p>
    <w:tbl>
      <w:tblPr>
        <w:tblW w:w="0" w:type="auto"/>
        <w:tblInd w:w="-50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1C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791C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</w:p>
    <w:p w:rsidR="00000000" w:rsidRDefault="00791C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AF" w:firstRow="1" w:lastRow="0" w:firstColumn="1" w:lastColumn="0" w:noHBand="0" w:noVBand="0"/>
      </w:tblPr>
      <w:tblGrid>
        <w:gridCol w:w="3652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KÜLTÜR  SANAT ÜRÜNLERİ YAPIM VE YAYIN SANAYİ TİCARET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275.000,00</w:t>
            </w:r>
          </w:p>
        </w:tc>
        <w:tc>
          <w:tcPr>
            <w:tcW w:w="2268" w:type="dxa"/>
            <w:vAlign w:val="center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DIŞ TİCARET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2.352.293,51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SİGORTA ARACILIK HİZMETLERİ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İNŞAAT VE TESİSA</w:t>
            </w:r>
            <w:r>
              <w:rPr>
                <w:rFonts w:ascii="Arial" w:hAnsi="Arial"/>
                <w:sz w:val="16"/>
              </w:rPr>
              <w:t>T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İMALAT VE MÜHENDİSLİK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MÜHENDİSLİK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EMLAK GELİŞTİRME YATIRIM VE TİC.A.Ş.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TURİZM VE İŞLETMECİLİK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STÜDYOLARI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</w:t>
            </w:r>
            <w:r>
              <w:rPr>
                <w:rFonts w:ascii="Arial" w:hAnsi="Arial"/>
                <w:sz w:val="16"/>
              </w:rPr>
              <w:t>00.00,00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KARACA GİYİM SANAYİ VE TİCARET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21.000.560,00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KABLOTEK-KABLO ŞEBEKELERİ TESİS İŞLETME MÜHENDİSLİK İNŞAAT TİCARET VE SANAYİ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12.005.000,00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GEMİ ACENTELİĞİ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ADANA YUMURTALIK SERBEST BÖLGESİ</w:t>
            </w:r>
            <w:r>
              <w:rPr>
                <w:rFonts w:ascii="Arial" w:hAnsi="Arial"/>
                <w:sz w:val="16"/>
              </w:rPr>
              <w:t xml:space="preserve"> KURUCU VE İŞL.A.Ş.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TARIM SANAYİ VE TİCARET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320.000.000,00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ENERJİ ELEKTRİK ÜRETİMİ OTOPRODÜKTÖR GRUBU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TERMİNAL SERVİSLERİ VE DENİZCİLİK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2.250.000,00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b/>
                <w:color w:val="000080"/>
                <w:sz w:val="16"/>
              </w:rPr>
            </w:pPr>
            <w:r>
              <w:rPr>
                <w:rFonts w:ascii="Arial" w:hAnsi="Arial"/>
                <w:sz w:val="16"/>
              </w:rPr>
              <w:t>TOROS GAYRİMENKUL YAT</w:t>
            </w:r>
            <w:r>
              <w:rPr>
                <w:rFonts w:ascii="Arial" w:hAnsi="Arial"/>
                <w:sz w:val="16"/>
              </w:rPr>
              <w:t>IRIMI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ENDÜSTRİ VE TİCARET 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18.700.000,00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BELPA BELEDİYE TÜKETİM MAL. İTH. İHR.TİC.YAT.A.Ş.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TAGAŞ-TÜRK ARAP GÜBRE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220.220,00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HISHTIL TOROS FİDECİLİK SANAYİ VE TİC.A.Ş.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b/>
                <w:color w:val="000080"/>
                <w:sz w:val="16"/>
              </w:rPr>
            </w:pPr>
            <w:r>
              <w:rPr>
                <w:rFonts w:ascii="Arial" w:hAnsi="Arial"/>
                <w:sz w:val="16"/>
              </w:rPr>
              <w:t>3.600.000,00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EUROBA</w:t>
            </w:r>
            <w:r>
              <w:rPr>
                <w:rFonts w:ascii="Arial" w:hAnsi="Arial"/>
                <w:sz w:val="16"/>
              </w:rPr>
              <w:t>NK TEKFEN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OZ GAYRİMENKUL GELİŞTİRME A.Ş.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7.500.000,00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  <w:vAlign w:val="bottom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TST INVESTMENT HOLDING SA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4.900.000$</w:t>
            </w:r>
          </w:p>
        </w:tc>
        <w:tc>
          <w:tcPr>
            <w:tcW w:w="2268" w:type="dxa"/>
            <w:vAlign w:val="bottom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TST INTERNATIONAL FINANCE SA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INTERNATIONAL FINANCE AND INVESTMENT SA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TEKFEN </w:t>
            </w:r>
            <w:r>
              <w:rPr>
                <w:rFonts w:ascii="Arial" w:hAnsi="Arial"/>
                <w:color w:val="000000"/>
                <w:sz w:val="16"/>
              </w:rPr>
              <w:t>PARTICIPATIONS SA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CONSTRUCTION AND INSTALLATION COMPANY LIMITED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TST INTERNATIONAL TRADING LTD.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PETROFERTIL SHIPPING SA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PETROFERTIL TRADING LTD.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SUPPLY AND TRADING CO</w:t>
            </w:r>
            <w:r>
              <w:rPr>
                <w:rFonts w:ascii="Arial" w:hAnsi="Arial"/>
                <w:color w:val="000000"/>
                <w:sz w:val="16"/>
              </w:rPr>
              <w:t>MPANY LTD.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TST INTERNATIONAL  LTD.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 GBP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INTERNATIONAL  LTD.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 GBP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HALLESCHE MITTELDEUTSCHE BAU-A.G.(HMB)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24.500.000EUR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PAPFEN JOINT STOCK COMPANY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472.737.185 SUM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CENUB TİKİNTİ SERVİS ASC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6.618.470.000 MANAT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OVERSEAS INTERNATIONAL CONSTRUCTORS GMBH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 CHF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NORTH CASPIAN CONSTRUCTORS B.V.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24.1154$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CP CONTRACTING AND TRADING FZE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273.973$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AZFEN BİRGE MÜESSESESİ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1.384.426 MANAT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IMPRES</w:t>
            </w:r>
            <w:r>
              <w:rPr>
                <w:rFonts w:ascii="Arial" w:hAnsi="Arial"/>
                <w:sz w:val="16"/>
              </w:rPr>
              <w:t xml:space="preserve">IT JV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TEKFEN-TUBİN-ÖZDEMİR JV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TEKFEN-TML JV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 İNŞAAT TAAHHÜT SANAYİ VE TİC.A.Ş.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TGO İNŞAAT TAAHHÜT NAKLİYAT TİC.SAN.LTD.ŞTİ.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</w:p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GAMA-TEKFEN-TOKAR JV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NUROL-TEKFEN-YÜKSEL JV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ind w:left="459"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00000" w:rsidRDefault="00791C99">
            <w:pPr>
              <w:framePr w:hSpace="180" w:wrap="around" w:vAnchor="text" w:hAnchor="margin" w:y="-159"/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TUBİN-TEKFEN-ÖZDEMİR </w:t>
            </w:r>
            <w:r>
              <w:rPr>
                <w:rFonts w:ascii="Arial" w:hAnsi="Arial"/>
                <w:sz w:val="16"/>
              </w:rPr>
              <w:t xml:space="preserve">JV </w:t>
            </w:r>
          </w:p>
        </w:tc>
        <w:tc>
          <w:tcPr>
            <w:tcW w:w="2410" w:type="dxa"/>
          </w:tcPr>
          <w:p w:rsidR="00000000" w:rsidRDefault="00791C99">
            <w:pPr>
              <w:framePr w:hSpace="180" w:wrap="around" w:vAnchor="text" w:hAnchor="margin" w:y="-159"/>
              <w:ind w:left="459"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91C99">
            <w:pPr>
              <w:framePr w:hSpace="180" w:wrap="around" w:vAnchor="text" w:hAnchor="margin" w:y="-1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b/>
          <w:color w:val="000080"/>
          <w:sz w:val="16"/>
        </w:rPr>
      </w:pPr>
    </w:p>
    <w:p w:rsidR="00000000" w:rsidRDefault="00791C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1C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1C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1C9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1C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1C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1C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1C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1C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791C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91C9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 AKÇAĞLILAR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50.066.663,00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BERKER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50.066.663,00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NİHAT GÖKYİĞİT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25.883.731,00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NİHAT GÖKYİĞİT YATIRIM HOLDİNG A.Ş.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25.758.370,00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BERKER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7.223.744,00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CANSEVİL AKÇAĞLILAR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7.223.74</w:t>
            </w:r>
            <w:r>
              <w:rPr>
                <w:rFonts w:ascii="Arial" w:hAnsi="Arial"/>
                <w:sz w:val="16"/>
              </w:rPr>
              <w:t>4,00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ÖNER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6.424.347,00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NİHAT GÖKYİĞİT EĞİTİM, SAĞLIK, KÜLTÜR, SANAT VE DOĞAL VARLIKLARI KORUMA VAKFI</w:t>
            </w:r>
          </w:p>
        </w:tc>
        <w:tc>
          <w:tcPr>
            <w:tcW w:w="1892" w:type="dxa"/>
            <w:vAlign w:val="center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5.648.306,00</w:t>
            </w:r>
          </w:p>
        </w:tc>
        <w:tc>
          <w:tcPr>
            <w:tcW w:w="2410" w:type="dxa"/>
            <w:vAlign w:val="center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ÜNLÜSOY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3.848.867,00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NAİM ÖZKAZANÇ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3.379.427,00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NECDET BOZDOĞAN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3.315.207,00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ÖNER Y</w:t>
            </w:r>
            <w:r>
              <w:rPr>
                <w:rFonts w:ascii="Arial" w:hAnsi="Arial"/>
                <w:sz w:val="16"/>
              </w:rPr>
              <w:t>ATIRIM İÇ VE DIŞ TİCARET A.Ş.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2.233.919,00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ERKTİN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1.234.173,00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ERKTİN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1.234.173,00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ELÇİN ERKTİN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846.866,00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  <w:vAlign w:val="bottom"/>
          </w:tcPr>
          <w:p w:rsidR="00000000" w:rsidRDefault="00791C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102.386.800,00</w:t>
            </w:r>
          </w:p>
        </w:tc>
        <w:tc>
          <w:tcPr>
            <w:tcW w:w="2410" w:type="dxa"/>
            <w:vAlign w:val="bottom"/>
          </w:tcPr>
          <w:p w:rsidR="00000000" w:rsidRDefault="00791C9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791C9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91C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296.775.000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000000" w:rsidRDefault="00791C9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791C9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C99"/>
    <w:rsid w:val="0079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AF653-6561-45EB-978A-BE927B45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kfen@tekf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6087</CharactersWithSpaces>
  <SharedDoc>false</SharedDoc>
  <HLinks>
    <vt:vector size="6" baseType="variant">
      <vt:variant>
        <vt:i4>5177394</vt:i4>
      </vt:variant>
      <vt:variant>
        <vt:i4>0</vt:i4>
      </vt:variant>
      <vt:variant>
        <vt:i4>0</vt:i4>
      </vt:variant>
      <vt:variant>
        <vt:i4>5</vt:i4>
      </vt:variant>
      <vt:variant>
        <vt:lpwstr>mailto:tekfen@tekfen.com.tr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2008-05-20T15:02:00Z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-1452840143</vt:i4>
  </property>
  <property fmtid="{D5CDD505-2E9C-101B-9397-08002B2CF9AE}" pid="3" name="_EmailSubject">
    <vt:lpwstr/>
  </property>
  <property fmtid="{D5CDD505-2E9C-101B-9397-08002B2CF9AE}" pid="4" name="_AuthorEmail">
    <vt:lpwstr>dodurga@tekfen.com.tr</vt:lpwstr>
  </property>
  <property fmtid="{D5CDD505-2E9C-101B-9397-08002B2CF9AE}" pid="5" name="_AuthorEmailDisplayName">
    <vt:lpwstr>Arzu Dodurga</vt:lpwstr>
  </property>
  <property fmtid="{D5CDD505-2E9C-101B-9397-08002B2CF9AE}" pid="6" name="_ReviewingToolsShownOnce">
    <vt:lpwstr/>
  </property>
</Properties>
</file>