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11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A0E" w:rsidRDefault="0051420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ASYA KATILIM BANKASI A.Ş.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17"/>
        <w:gridCol w:w="284"/>
        <w:gridCol w:w="4110"/>
      </w:tblGrid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E62CA" w:rsidRPr="00EB2CEF" w:rsidRDefault="008E62CA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E62CA" w:rsidRPr="008253FC" w:rsidRDefault="00793FB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20/09/1996</w:t>
            </w: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E62CA" w:rsidRPr="00EB2CEF" w:rsidRDefault="008E62CA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E62CA" w:rsidRPr="008253FC" w:rsidRDefault="008E62CA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E62CA" w:rsidRPr="00EB2CEF" w:rsidRDefault="008E62CA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E62CA" w:rsidRPr="008253FC" w:rsidRDefault="00793FB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KATILIM BANKASI</w:t>
            </w: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E62CA" w:rsidRPr="00EB2CEF" w:rsidRDefault="008E62CA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E62CA" w:rsidRPr="008253FC" w:rsidRDefault="00793FB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PARTICIPATION BANK</w:t>
            </w: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E62CA" w:rsidRPr="00EB2CEF" w:rsidRDefault="008E62CA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E62CA" w:rsidRPr="008253FC" w:rsidRDefault="00793FBA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KÜÇÜKSU CAD., AKÇAKOCA SOK., NO:6, ÜMRANİYE 34768 İSTANBUL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ÜNAL KABACA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4A1385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TAHSİN TEKOĞLU</w:t>
            </w:r>
            <w:r w:rsidR="004A13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4A1385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MUSTAFA ŞEVKİ KAVURMACI</w:t>
            </w:r>
            <w:r w:rsidR="004A13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ABDURRAHMAN SELÇUK BERKSAN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SALİH SARIGÜL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364645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364645">
              <w:rPr>
                <w:rFonts w:ascii="Arial" w:hAnsi="Arial" w:cs="Arial"/>
                <w:sz w:val="16"/>
                <w:szCs w:val="16"/>
              </w:rPr>
              <w:t>ÜNAL KABACA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364645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364645">
              <w:rPr>
                <w:rFonts w:ascii="Arial" w:hAnsi="Arial" w:cs="Arial"/>
                <w:sz w:val="16"/>
                <w:szCs w:val="16"/>
              </w:rPr>
              <w:t>TACETTİN NEGİŞ</w:t>
            </w:r>
            <w:r w:rsidR="004A1385" w:rsidRPr="0036464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364645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364645">
              <w:rPr>
                <w:rFonts w:ascii="Arial" w:hAnsi="Arial" w:cs="Arial"/>
                <w:sz w:val="16"/>
                <w:szCs w:val="16"/>
              </w:rPr>
              <w:t>CEMİL ÖZDEMİR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BE6E20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</w:t>
            </w:r>
          </w:p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personelin adı, soyadı, görevi, e-mail adresi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364645" w:rsidRDefault="00775E11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UĞUR GÜNEY</w:t>
            </w:r>
            <w:r w:rsidRPr="00131970">
              <w:rPr>
                <w:rFonts w:ascii="Arial" w:hAnsi="Arial" w:cs="Arial"/>
                <w:sz w:val="16"/>
                <w:szCs w:val="16"/>
              </w:rPr>
              <w:t>, MÜDÜR</w:t>
            </w:r>
            <w:r>
              <w:rPr>
                <w:rFonts w:ascii="Arial" w:hAnsi="Arial" w:cs="Arial"/>
                <w:sz w:val="16"/>
                <w:szCs w:val="16"/>
              </w:rPr>
              <w:t xml:space="preserve"> YARDIMCISI</w:t>
            </w:r>
            <w:r w:rsidRPr="00131970">
              <w:rPr>
                <w:sz w:val="16"/>
                <w:szCs w:val="16"/>
              </w:rPr>
              <w:t>,</w:t>
            </w:r>
            <w:r w:rsidRPr="00131970">
              <w:rPr>
                <w:rStyle w:val="Hyperlink"/>
                <w:rFonts w:ascii="Arial" w:hAnsi="Arial" w:cs="Arial"/>
                <w:u w:val="none"/>
              </w:rPr>
              <w:t xml:space="preserve"> </w:t>
            </w:r>
            <w:hyperlink r:id="rId4" w:history="1">
              <w:r w:rsidR="00D97FDA" w:rsidRPr="007A366F">
                <w:rPr>
                  <w:rStyle w:val="Hyperlink"/>
                  <w:rFonts w:ascii="Arial" w:hAnsi="Arial" w:cs="Arial"/>
                </w:rPr>
                <w:t>ugur@bankasya.com.tr</w:t>
              </w:r>
            </w:hyperlink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BE6E20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Borsa ile iletişimden sorumlu personelin adı, soyadı, görevi, e-mail </w:t>
            </w:r>
          </w:p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adresi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364645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31970">
              <w:rPr>
                <w:rFonts w:ascii="Arial" w:hAnsi="Arial" w:cs="Arial"/>
                <w:sz w:val="16"/>
                <w:szCs w:val="16"/>
              </w:rPr>
              <w:t>ALİ RİFAT ÇAĞLAYAN, MÜDÜR</w:t>
            </w:r>
            <w:r w:rsidRPr="00131970">
              <w:rPr>
                <w:sz w:val="16"/>
                <w:szCs w:val="16"/>
              </w:rPr>
              <w:t>,</w:t>
            </w:r>
            <w:r w:rsidRPr="00131970">
              <w:rPr>
                <w:rStyle w:val="Hyperlink"/>
                <w:rFonts w:ascii="Arial" w:hAnsi="Arial" w:cs="Arial"/>
                <w:u w:val="none"/>
              </w:rPr>
              <w:t xml:space="preserve"> </w:t>
            </w:r>
            <w:hyperlink r:id="rId5" w:history="1">
              <w:r w:rsidRPr="00131970">
                <w:rPr>
                  <w:rStyle w:val="Hyperlink"/>
                  <w:rFonts w:ascii="Arial" w:hAnsi="Arial" w:cs="Arial"/>
                  <w:u w:val="none"/>
                </w:rPr>
                <w:t>rifat@bankasya.com.tr</w:t>
              </w:r>
            </w:hyperlink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BE6E20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</w:t>
            </w:r>
          </w:p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adresi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131970" w:rsidRDefault="001B7D6E" w:rsidP="008E62CA">
            <w:pPr>
              <w:rPr>
                <w:rStyle w:val="Hyperlink"/>
                <w:u w:val="none"/>
              </w:rPr>
            </w:pPr>
            <w:r w:rsidRPr="00131970">
              <w:rPr>
                <w:rFonts w:ascii="Arial" w:hAnsi="Arial" w:cs="Arial"/>
                <w:sz w:val="16"/>
                <w:szCs w:val="16"/>
              </w:rPr>
              <w:t>ALİ RİFAT ÇAĞLAYAN, MÜDÜR</w:t>
            </w:r>
            <w:r w:rsidRPr="00131970">
              <w:rPr>
                <w:sz w:val="16"/>
                <w:szCs w:val="16"/>
              </w:rPr>
              <w:t>,</w:t>
            </w:r>
            <w:r w:rsidRPr="00131970">
              <w:rPr>
                <w:rStyle w:val="Hyperlink"/>
                <w:rFonts w:ascii="Arial" w:hAnsi="Arial" w:cs="Arial"/>
                <w:u w:val="none"/>
              </w:rPr>
              <w:t xml:space="preserve"> </w:t>
            </w:r>
            <w:hyperlink r:id="rId6" w:history="1">
              <w:r w:rsidR="008253FC" w:rsidRPr="00131970">
                <w:rPr>
                  <w:rStyle w:val="Hyperlink"/>
                  <w:rFonts w:ascii="Arial" w:hAnsi="Arial" w:cs="Arial"/>
                  <w:u w:val="none"/>
                </w:rPr>
                <w:t>rifat@bankasya.com.tr</w:t>
              </w:r>
            </w:hyperlink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TAHSİN TEKOĞLU</w:t>
            </w:r>
          </w:p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CEMİL ÖZDEMİR</w:t>
            </w:r>
          </w:p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MAHMUT DEMİRKAN</w:t>
            </w:r>
          </w:p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MEHMET KAMİL TÜMER</w:t>
            </w:r>
          </w:p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ALİ RİFAT ÇAĞLAYAN</w:t>
            </w:r>
          </w:p>
          <w:p w:rsidR="008253FC" w:rsidRPr="008253FC" w:rsidRDefault="001B7D6E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MUSTAFA SARAÇ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 xml:space="preserve"> - 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CEMİL ÖZDEMİR</w:t>
            </w:r>
          </w:p>
          <w:p w:rsidR="008253FC" w:rsidRPr="008253FC" w:rsidRDefault="001B7D6E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MUSTAFA ŞEVKİ KAVURMACI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0 216 633 50 00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+90 216 633 50 00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0 216 633 50 50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+90 216 633 50 50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364645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31970">
              <w:rPr>
                <w:rStyle w:val="Hyperlink"/>
                <w:rFonts w:ascii="Arial" w:hAnsi="Arial" w:cs="Arial"/>
                <w:u w:val="none"/>
              </w:rPr>
              <w:t>www.bankasya.com.tr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EB2CEF" w:rsidRDefault="008253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31970">
              <w:rPr>
                <w:rStyle w:val="Hyperlink"/>
                <w:rFonts w:ascii="Arial" w:hAnsi="Arial" w:cs="Arial"/>
                <w:u w:val="none"/>
              </w:rPr>
              <w:t>www.bankasya.com.tr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BE6E20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</w:t>
            </w:r>
          </w:p>
          <w:p w:rsidR="00BE6E20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oluşturulan “bilgilendirme politikası”nın internet sitesinde ilan </w:t>
            </w:r>
          </w:p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edilip edilmediği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İLAN EDİLMİŞTİR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Style w:val="Hyperlink"/>
                <w:color w:val="auto"/>
                <w:u w:val="none"/>
              </w:rPr>
              <w:t>www.bankasya.com.tr/yatirimci_iliskileri/etik_ilkeler_bilgilendirme_politikasi.jsp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364645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 .2008: </w:t>
            </w:r>
            <w:r w:rsidR="005968DC">
              <w:rPr>
                <w:rFonts w:ascii="Arial" w:hAnsi="Arial" w:cs="Arial"/>
                <w:sz w:val="16"/>
                <w:szCs w:val="16"/>
              </w:rPr>
              <w:t xml:space="preserve">3.348 </w:t>
            </w:r>
            <w:r w:rsidR="00C92FB3">
              <w:rPr>
                <w:rFonts w:ascii="Arial" w:hAnsi="Arial" w:cs="Arial"/>
                <w:sz w:val="16"/>
                <w:szCs w:val="16"/>
              </w:rPr>
              <w:t>,</w:t>
            </w:r>
            <w:r w:rsidR="005968DC">
              <w:rPr>
                <w:rFonts w:ascii="Arial" w:hAnsi="Arial" w:cs="Arial"/>
                <w:sz w:val="16"/>
                <w:szCs w:val="16"/>
              </w:rPr>
              <w:t xml:space="preserve"> Aralık.2008: 3.806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EB2CEF" w:rsidRDefault="00C92FB3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Jan. 2008: 3.348 , Dec..2008: 3.806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8253FC">
              <w:rPr>
                <w:rFonts w:ascii="Arial" w:hAnsi="Arial" w:cs="Arial"/>
                <w:sz w:val="16"/>
                <w:szCs w:val="16"/>
              </w:rPr>
              <w:t xml:space="preserve">- 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EB2CEF" w:rsidRDefault="008253F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SENDİKASIZ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507D93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SENDİKASIZ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8253FC">
              <w:rPr>
                <w:rFonts w:cs="Arial"/>
                <w:i w:val="0"/>
                <w:color w:val="auto"/>
                <w:szCs w:val="16"/>
                <w:lang w:val="tr-TR"/>
              </w:rPr>
              <w:t>900,000,000 TL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pStyle w:val="Heading3"/>
              <w:ind w:right="-881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8253F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17" w:type="dxa"/>
          </w:tcPr>
          <w:p w:rsidR="008253FC" w:rsidRPr="00EB2CEF" w:rsidRDefault="008253FC" w:rsidP="00933EAA">
            <w:pPr>
              <w:ind w:right="-881"/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253FC" w:rsidRPr="00EB2CEF" w:rsidRDefault="008253F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0" w:type="dxa"/>
          </w:tcPr>
          <w:p w:rsidR="008253FC" w:rsidRPr="008253FC" w:rsidRDefault="008253FC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8253FC">
              <w:rPr>
                <w:rFonts w:ascii="Arial" w:hAnsi="Arial" w:cs="Arial"/>
                <w:sz w:val="16"/>
                <w:szCs w:val="16"/>
              </w:rPr>
              <w:t>NATIONAL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p w:rsidR="001B7D6E" w:rsidRDefault="001B7D6E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933EAA" w:rsidRDefault="00933EAA">
      <w:pPr>
        <w:rPr>
          <w:rFonts w:ascii="Arial" w:hAnsi="Arial"/>
          <w:sz w:val="16"/>
        </w:rPr>
      </w:pPr>
    </w:p>
    <w:p w:rsidR="00933EAA" w:rsidRDefault="00933EAA">
      <w:pPr>
        <w:rPr>
          <w:rFonts w:ascii="Arial" w:hAnsi="Arial"/>
          <w:sz w:val="16"/>
        </w:rPr>
      </w:pPr>
    </w:p>
    <w:p w:rsidR="00933EAA" w:rsidRDefault="00933EAA">
      <w:pPr>
        <w:rPr>
          <w:rFonts w:ascii="Arial" w:hAnsi="Arial"/>
          <w:sz w:val="16"/>
        </w:rPr>
      </w:pPr>
    </w:p>
    <w:p w:rsidR="00933EAA" w:rsidRDefault="00933EAA">
      <w:pPr>
        <w:rPr>
          <w:rFonts w:ascii="Arial" w:hAnsi="Arial"/>
          <w:sz w:val="16"/>
        </w:rPr>
      </w:pPr>
    </w:p>
    <w:p w:rsidR="00933EAA" w:rsidRDefault="00933EAA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p w:rsidR="00C4692F" w:rsidRDefault="00C4692F">
      <w:pPr>
        <w:rPr>
          <w:rFonts w:ascii="Arial" w:hAnsi="Arial"/>
          <w:sz w:val="16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50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7250" w:type="dxa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83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871A0E" w:rsidRDefault="00DF6F3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5,842,821</w:t>
            </w:r>
          </w:p>
        </w:tc>
        <w:tc>
          <w:tcPr>
            <w:tcW w:w="2835" w:type="dxa"/>
          </w:tcPr>
          <w:p w:rsidR="00871A0E" w:rsidRDefault="00F3306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* </w:t>
            </w:r>
            <w:r w:rsidR="00DF6F3A">
              <w:rPr>
                <w:rFonts w:ascii="Arial" w:hAnsi="Arial"/>
                <w:sz w:val="16"/>
              </w:rPr>
              <w:t>6,</w:t>
            </w:r>
            <w:r w:rsidR="00A35A01">
              <w:rPr>
                <w:rFonts w:ascii="Arial" w:hAnsi="Arial"/>
                <w:sz w:val="16"/>
              </w:rPr>
              <w:t>381</w:t>
            </w:r>
            <w:r w:rsidR="00DF6F3A">
              <w:rPr>
                <w:rFonts w:ascii="Arial" w:hAnsi="Arial"/>
                <w:sz w:val="16"/>
              </w:rPr>
              <w:t>,</w:t>
            </w:r>
            <w:r w:rsidR="00A35A01">
              <w:rPr>
                <w:rFonts w:ascii="Arial" w:hAnsi="Arial"/>
                <w:sz w:val="16"/>
              </w:rPr>
              <w:t>322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871A0E" w:rsidRDefault="00DF6F3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4,697,750</w:t>
            </w:r>
          </w:p>
        </w:tc>
        <w:tc>
          <w:tcPr>
            <w:tcW w:w="2835" w:type="dxa"/>
          </w:tcPr>
          <w:p w:rsidR="00871A0E" w:rsidRDefault="00F3306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* </w:t>
            </w:r>
            <w:r w:rsidR="00DF6F3A">
              <w:rPr>
                <w:rFonts w:ascii="Arial" w:hAnsi="Arial"/>
                <w:sz w:val="16"/>
              </w:rPr>
              <w:t>4,</w:t>
            </w:r>
            <w:r w:rsidR="00A35A01">
              <w:rPr>
                <w:rFonts w:ascii="Arial" w:hAnsi="Arial"/>
                <w:sz w:val="16"/>
              </w:rPr>
              <w:t>609</w:t>
            </w:r>
            <w:r w:rsidR="00DF6F3A">
              <w:rPr>
                <w:rFonts w:ascii="Arial" w:hAnsi="Arial"/>
                <w:sz w:val="16"/>
              </w:rPr>
              <w:t>,</w:t>
            </w:r>
            <w:r w:rsidR="00A35A01">
              <w:rPr>
                <w:rFonts w:ascii="Arial" w:hAnsi="Arial"/>
                <w:sz w:val="16"/>
              </w:rPr>
              <w:t>665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E6E20" w:rsidRDefault="00BE6E20">
      <w:pPr>
        <w:rPr>
          <w:rFonts w:ascii="Arial" w:hAnsi="Arial"/>
        </w:rPr>
      </w:pPr>
    </w:p>
    <w:p w:rsidR="00F33065" w:rsidRDefault="00F33065">
      <w:pPr>
        <w:rPr>
          <w:rFonts w:ascii="Arial" w:hAnsi="Arial"/>
          <w:sz w:val="16"/>
        </w:rPr>
      </w:pPr>
      <w:r>
        <w:rPr>
          <w:rFonts w:ascii="Arial" w:hAnsi="Arial"/>
        </w:rPr>
        <w:t xml:space="preserve">* </w:t>
      </w:r>
      <w:r w:rsidRPr="001B7D6E">
        <w:rPr>
          <w:rFonts w:ascii="Arial" w:hAnsi="Arial"/>
          <w:sz w:val="16"/>
        </w:rPr>
        <w:t>Finansal Kiralama Alacakları Dahil (Leasing Receivables included)</w:t>
      </w:r>
    </w:p>
    <w:p w:rsidR="00BE6E20" w:rsidRPr="001B7D6E" w:rsidRDefault="00BE6E20">
      <w:pPr>
        <w:rPr>
          <w:rFonts w:ascii="Arial" w:hAnsi="Arial"/>
          <w:sz w:val="16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56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564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871A0E" w:rsidRDefault="00871A0E">
      <w:pPr>
        <w:rPr>
          <w:sz w:val="16"/>
        </w:rPr>
      </w:pPr>
    </w:p>
    <w:tbl>
      <w:tblPr>
        <w:tblW w:w="992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2263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26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3" w:type="dxa"/>
          </w:tcPr>
          <w:p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71A0E" w:rsidRPr="002651BF" w:rsidRDefault="00871A0E">
      <w:pPr>
        <w:pStyle w:val="BodyText2"/>
        <w:rPr>
          <w:lang w:val="tr-TR"/>
        </w:rPr>
      </w:pPr>
      <w:r w:rsidRPr="002651BF">
        <w:rPr>
          <w:lang w:val="tr-TR"/>
        </w:rPr>
        <w:t>Önemli Not: Eğer fiilen başlamayıp da projesi devam eden yatırımlarınız var ise, sözkonusu projeyi yatırımın adından sonra “Proje” kelimesini ekleyerek belirtiniz.</w:t>
      </w:r>
    </w:p>
    <w:p w:rsidR="00BE6E20" w:rsidRPr="002651BF" w:rsidRDefault="00BE6E20">
      <w:pPr>
        <w:pStyle w:val="BodyText2"/>
        <w:rPr>
          <w:lang w:val="tr-TR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987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717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Turizm Proje İnşaat Taahhüt Emlak San. ve Tic. A.Ş.</w:t>
            </w:r>
          </w:p>
        </w:tc>
        <w:tc>
          <w:tcPr>
            <w:tcW w:w="2299" w:type="dxa"/>
          </w:tcPr>
          <w:p w:rsidR="00871A0E" w:rsidRDefault="007176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2342" w:type="dxa"/>
          </w:tcPr>
          <w:p w:rsidR="00871A0E" w:rsidRDefault="00717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22.94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717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İnşaat San. Dış Tic. ve Paz. A.Ş.</w:t>
            </w:r>
          </w:p>
        </w:tc>
        <w:tc>
          <w:tcPr>
            <w:tcW w:w="2299" w:type="dxa"/>
          </w:tcPr>
          <w:p w:rsidR="00871A0E" w:rsidRDefault="007176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55.500.000 </w:t>
            </w:r>
            <w:r w:rsidR="00871A0E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871A0E" w:rsidRDefault="00717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99.93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717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 Sigorta A.Ş.</w:t>
            </w:r>
          </w:p>
        </w:tc>
        <w:tc>
          <w:tcPr>
            <w:tcW w:w="2299" w:type="dxa"/>
          </w:tcPr>
          <w:p w:rsidR="00871A0E" w:rsidRDefault="007176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60.000.000 </w:t>
            </w:r>
            <w:r w:rsidR="00871A0E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871A0E" w:rsidRDefault="00717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65.42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1A0E" w:rsidRDefault="00717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Kart Teknoloji Hiz. A.Ş.</w:t>
            </w:r>
          </w:p>
        </w:tc>
        <w:tc>
          <w:tcPr>
            <w:tcW w:w="2299" w:type="dxa"/>
          </w:tcPr>
          <w:p w:rsidR="00871A0E" w:rsidRDefault="007176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 </w:t>
            </w:r>
            <w:r w:rsidR="00871A0E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871A0E" w:rsidRDefault="00717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</w:t>
            </w:r>
          </w:p>
        </w:tc>
      </w:tr>
      <w:tr w:rsidR="003F48A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8A4" w:rsidRDefault="007176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Sigorta Aracılık Hiz. Ltd. Şti.</w:t>
            </w:r>
          </w:p>
        </w:tc>
        <w:tc>
          <w:tcPr>
            <w:tcW w:w="2299" w:type="dxa"/>
          </w:tcPr>
          <w:p w:rsidR="003F48A4" w:rsidRDefault="007176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TL</w:t>
            </w:r>
          </w:p>
        </w:tc>
        <w:tc>
          <w:tcPr>
            <w:tcW w:w="2342" w:type="dxa"/>
          </w:tcPr>
          <w:p w:rsidR="003F48A4" w:rsidRDefault="007176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A034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47B" w:rsidRDefault="00A0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Mağazacılık A.Ş</w:t>
            </w:r>
          </w:p>
        </w:tc>
        <w:tc>
          <w:tcPr>
            <w:tcW w:w="2299" w:type="dxa"/>
          </w:tcPr>
          <w:p w:rsidR="00A0347B" w:rsidRDefault="00C715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13.200.000 TL</w:t>
            </w:r>
          </w:p>
        </w:tc>
        <w:tc>
          <w:tcPr>
            <w:tcW w:w="2342" w:type="dxa"/>
          </w:tcPr>
          <w:p w:rsidR="00A0347B" w:rsidRDefault="00045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A034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47B" w:rsidRDefault="00A0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Landmark Holding A.Ş</w:t>
            </w:r>
          </w:p>
        </w:tc>
        <w:tc>
          <w:tcPr>
            <w:tcW w:w="2299" w:type="dxa"/>
          </w:tcPr>
          <w:p w:rsidR="00A0347B" w:rsidRDefault="00C715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9.920.000 TL</w:t>
            </w:r>
          </w:p>
        </w:tc>
        <w:tc>
          <w:tcPr>
            <w:tcW w:w="2342" w:type="dxa"/>
          </w:tcPr>
          <w:p w:rsidR="00A0347B" w:rsidRDefault="00045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</w:tbl>
    <w:p w:rsidR="00871A0E" w:rsidRDefault="00871A0E">
      <w:pPr>
        <w:rPr>
          <w:rFonts w:ascii="Arial" w:hAnsi="Arial"/>
          <w:b/>
          <w:i/>
          <w:color w:val="FF0000"/>
          <w:u w:val="single"/>
        </w:rPr>
      </w:pPr>
    </w:p>
    <w:p w:rsidR="00717602" w:rsidRPr="00C32834" w:rsidRDefault="00717602" w:rsidP="00C3781F">
      <w:pPr>
        <w:jc w:val="both"/>
        <w:rPr>
          <w:rFonts w:ascii="Arial" w:hAnsi="Arial" w:cs="Arial"/>
          <w:sz w:val="16"/>
          <w:szCs w:val="16"/>
        </w:rPr>
      </w:pPr>
      <w:r w:rsidRPr="00C32834">
        <w:rPr>
          <w:rFonts w:ascii="Arial" w:hAnsi="Arial" w:cs="Arial"/>
          <w:sz w:val="16"/>
          <w:szCs w:val="16"/>
        </w:rPr>
        <w:t>Ayrıca Asyafin Turizm Proje İnşaat Taahhüt Emlak San.ve Tic.A.Ş'de Bankamızın bağlı ortaklığı olan Asyafin İnşaat Sanayi Dış Ticaret ve Pazarlama A.Ş.'nin de 46,51'lik payı bulunmaktadır.</w:t>
      </w:r>
    </w:p>
    <w:p w:rsidR="000E3F8C" w:rsidRPr="00C32834" w:rsidRDefault="00F27283" w:rsidP="00C3781F">
      <w:pPr>
        <w:jc w:val="both"/>
        <w:rPr>
          <w:rFonts w:ascii="Arial" w:hAnsi="Arial" w:cs="Arial"/>
          <w:sz w:val="16"/>
          <w:szCs w:val="16"/>
        </w:rPr>
      </w:pPr>
      <w:r w:rsidRPr="00C32834">
        <w:rPr>
          <w:rFonts w:ascii="Arial" w:hAnsi="Arial" w:cs="Arial"/>
          <w:sz w:val="16"/>
          <w:szCs w:val="16"/>
        </w:rPr>
        <w:t>(</w:t>
      </w:r>
      <w:r w:rsidR="00717602" w:rsidRPr="00C32834">
        <w:rPr>
          <w:rFonts w:ascii="Arial" w:hAnsi="Arial" w:cs="Arial"/>
          <w:sz w:val="16"/>
          <w:szCs w:val="16"/>
        </w:rPr>
        <w:t>Also our subsidiary, Asyafin İnşaat Sanayi Dış Ticaret ve Pazarlama A.Ş. has 46.51 % share of Asyafin Turizm Proje İnşaat Taahhüt Emlak San.ve Tic. A.Ş.</w:t>
      </w:r>
      <w:r w:rsidRPr="00C32834">
        <w:rPr>
          <w:rFonts w:ascii="Arial" w:hAnsi="Arial" w:cs="Arial"/>
          <w:sz w:val="16"/>
          <w:szCs w:val="16"/>
        </w:rPr>
        <w:t>)</w:t>
      </w:r>
    </w:p>
    <w:p w:rsidR="008D3C7A" w:rsidRPr="00C32834" w:rsidRDefault="008D3C7A" w:rsidP="00C3781F">
      <w:pPr>
        <w:jc w:val="both"/>
        <w:rPr>
          <w:rFonts w:ascii="Arial" w:hAnsi="Arial" w:cs="Arial"/>
          <w:sz w:val="16"/>
          <w:szCs w:val="16"/>
        </w:rPr>
      </w:pPr>
      <w:r w:rsidRPr="00F50515">
        <w:rPr>
          <w:rFonts w:ascii="Arial" w:hAnsi="Arial" w:cs="Arial"/>
          <w:sz w:val="16"/>
          <w:szCs w:val="16"/>
        </w:rPr>
        <w:t>(*) Banka, 1 Kasım 2006 tarih ve 26333 sayılı Resmi Gazete’de yayımlanarak yürürlüğe giren Bankaların K</w:t>
      </w:r>
      <w:r w:rsidR="00C32834" w:rsidRPr="00F50515">
        <w:rPr>
          <w:rFonts w:ascii="Arial" w:hAnsi="Arial" w:cs="Arial"/>
          <w:sz w:val="16"/>
          <w:szCs w:val="16"/>
        </w:rPr>
        <w:t xml:space="preserve">redi </w:t>
      </w:r>
      <w:r w:rsidRPr="00F50515">
        <w:rPr>
          <w:rFonts w:ascii="Arial" w:hAnsi="Arial" w:cs="Arial"/>
          <w:sz w:val="16"/>
          <w:szCs w:val="16"/>
        </w:rPr>
        <w:t>İşlemlerine İlişkin Yönetmeliğin 19. maddesinde</w:t>
      </w:r>
      <w:r w:rsidR="009806BA" w:rsidRPr="00F50515">
        <w:rPr>
          <w:rFonts w:ascii="Arial" w:hAnsi="Arial" w:cs="Arial"/>
          <w:sz w:val="16"/>
          <w:szCs w:val="16"/>
        </w:rPr>
        <w:t xml:space="preserve"> </w:t>
      </w:r>
      <w:r w:rsidRPr="00F50515">
        <w:rPr>
          <w:rFonts w:ascii="Arial" w:hAnsi="Arial" w:cs="Arial"/>
          <w:sz w:val="16"/>
          <w:szCs w:val="16"/>
        </w:rPr>
        <w:t>Katılım Bankalarınca Finansman Sağlama Yöntemlerinden ortak yatırımlar yöntemi ile işletilen ve A.101 ismi ile faaliyet gösteren Yeni Mağazacılık A.Ş.’ye 14.985</w:t>
      </w:r>
      <w:r w:rsidR="009806BA" w:rsidRPr="00F50515">
        <w:rPr>
          <w:rFonts w:ascii="Arial" w:hAnsi="Arial" w:cs="Arial"/>
          <w:sz w:val="16"/>
          <w:szCs w:val="16"/>
        </w:rPr>
        <w:t xml:space="preserve"> </w:t>
      </w:r>
      <w:r w:rsidRPr="00F50515">
        <w:rPr>
          <w:rFonts w:ascii="Arial" w:hAnsi="Arial" w:cs="Arial"/>
          <w:sz w:val="16"/>
          <w:szCs w:val="16"/>
        </w:rPr>
        <w:t>Bin YTL tutarında, Landmark Holding A.Ş.’ye ise 8.990 Bin YTL tutarında iştirak etmiş olup, 26.01.2007 tarih ve 26415 (Mükerrer) sayılı Resmi Gazetede yayınlanan</w:t>
      </w:r>
      <w:r w:rsidR="00B715A9" w:rsidRPr="00F50515">
        <w:rPr>
          <w:rFonts w:ascii="Arial" w:hAnsi="Arial" w:cs="Arial"/>
          <w:sz w:val="16"/>
          <w:szCs w:val="16"/>
        </w:rPr>
        <w:t xml:space="preserve"> </w:t>
      </w:r>
      <w:r w:rsidRPr="00F50515">
        <w:rPr>
          <w:rFonts w:ascii="Arial" w:hAnsi="Arial" w:cs="Arial"/>
          <w:sz w:val="16"/>
          <w:szCs w:val="16"/>
        </w:rPr>
        <w:t>TDHP gereğince iştirak olarak kaydedilmiştir.</w:t>
      </w:r>
    </w:p>
    <w:p w:rsidR="00C32834" w:rsidRPr="00C32834" w:rsidRDefault="00C32834" w:rsidP="00C3781F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</w:pPr>
      <w:r w:rsidRPr="00C32834">
        <w:rPr>
          <w:rFonts w:ascii="Arial" w:hAnsi="Arial" w:cs="Arial"/>
          <w:sz w:val="16"/>
          <w:szCs w:val="16"/>
        </w:rPr>
        <w:t xml:space="preserve">The Bank participated in Yeni Mağazacılık A.Ş. and in Landmark Holding A.Ş. by means of joint </w:t>
      </w:r>
      <w:r>
        <w:rPr>
          <w:rFonts w:ascii="Arial" w:hAnsi="Arial" w:cs="Arial"/>
          <w:sz w:val="16"/>
          <w:szCs w:val="16"/>
        </w:rPr>
        <w:t xml:space="preserve">investment method, amounting to </w:t>
      </w:r>
      <w:r w:rsidRPr="00C32834">
        <w:rPr>
          <w:rFonts w:ascii="Arial" w:hAnsi="Arial" w:cs="Arial"/>
          <w:sz w:val="16"/>
          <w:szCs w:val="16"/>
        </w:rPr>
        <w:t>TRY 14.985 Thousand and TRY 8.990 Thousand respectively. These are recorded as associates in accordance with the Uniform Chart of</w:t>
      </w:r>
      <w:r>
        <w:rPr>
          <w:rFonts w:ascii="Arial" w:hAnsi="Arial" w:cs="Arial"/>
          <w:sz w:val="16"/>
          <w:szCs w:val="16"/>
        </w:rPr>
        <w:t xml:space="preserve"> </w:t>
      </w:r>
      <w:r w:rsidRPr="00C32834">
        <w:rPr>
          <w:rFonts w:ascii="Arial" w:hAnsi="Arial" w:cs="Arial"/>
          <w:sz w:val="16"/>
          <w:szCs w:val="16"/>
        </w:rPr>
        <w:t>Accounts published in the Official Gazette numbered 26415 and dated January 26, 2007. Yeni Mağazacılık A.Ş. operates with common</w:t>
      </w:r>
      <w:r>
        <w:rPr>
          <w:rFonts w:ascii="Arial" w:hAnsi="Arial" w:cs="Arial"/>
          <w:sz w:val="16"/>
          <w:szCs w:val="16"/>
        </w:rPr>
        <w:t xml:space="preserve"> </w:t>
      </w:r>
      <w:r w:rsidRPr="00C32834">
        <w:rPr>
          <w:rFonts w:ascii="Arial" w:hAnsi="Arial" w:cs="Arial"/>
          <w:sz w:val="16"/>
          <w:szCs w:val="16"/>
        </w:rPr>
        <w:t>investment method, a Financing Method for Participation Banks explained in the regulation no:19 regarding Banks’ Lending Transactions</w:t>
      </w:r>
      <w:r>
        <w:rPr>
          <w:rFonts w:ascii="Arial" w:hAnsi="Arial" w:cs="Arial"/>
          <w:sz w:val="16"/>
          <w:szCs w:val="16"/>
        </w:rPr>
        <w:t xml:space="preserve"> </w:t>
      </w:r>
      <w:r w:rsidRPr="00C32834">
        <w:rPr>
          <w:rFonts w:ascii="Arial" w:hAnsi="Arial" w:cs="Arial"/>
          <w:sz w:val="16"/>
          <w:szCs w:val="16"/>
        </w:rPr>
        <w:t>published in and enacted with the Official Gazette numbered 26333, dated November 1, 2006. Yeni Mağazacılık A.Ş. operates with the</w:t>
      </w:r>
      <w:r>
        <w:rPr>
          <w:rFonts w:ascii="Arial" w:hAnsi="Arial" w:cs="Arial"/>
          <w:sz w:val="16"/>
          <w:szCs w:val="16"/>
        </w:rPr>
        <w:t xml:space="preserve"> </w:t>
      </w:r>
      <w:r w:rsidRPr="00C32834">
        <w:rPr>
          <w:rFonts w:ascii="Arial" w:hAnsi="Arial" w:cs="Arial"/>
          <w:sz w:val="16"/>
          <w:szCs w:val="16"/>
        </w:rPr>
        <w:t>name of A.101.</w:t>
      </w:r>
    </w:p>
    <w:p w:rsidR="00BE6E20" w:rsidRPr="00F27283" w:rsidRDefault="00BE6E20">
      <w:pPr>
        <w:rPr>
          <w:rFonts w:ascii="Arial" w:hAnsi="Arial"/>
          <w:sz w:val="16"/>
        </w:rPr>
      </w:pPr>
    </w:p>
    <w:p w:rsidR="000E3F8C" w:rsidRDefault="000E3F8C">
      <w:pPr>
        <w:rPr>
          <w:rFonts w:ascii="Arial" w:hAnsi="Arial"/>
          <w:color w:val="FF0000"/>
          <w:sz w:val="16"/>
        </w:rPr>
      </w:pPr>
    </w:p>
    <w:tbl>
      <w:tblPr>
        <w:tblW w:w="987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71A0E" w:rsidRDefault="00871A0E">
      <w:pPr>
        <w:jc w:val="center"/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71A0E" w:rsidRDefault="00871A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71A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1A0E" w:rsidRPr="00F27283" w:rsidRDefault="00313A77">
            <w:pPr>
              <w:rPr>
                <w:rFonts w:ascii="Arial" w:hAnsi="Arial" w:cs="Arial"/>
                <w:sz w:val="16"/>
                <w:szCs w:val="16"/>
              </w:rPr>
            </w:pPr>
            <w:r w:rsidRPr="00F27283">
              <w:rPr>
                <w:rFonts w:ascii="Arial" w:hAnsi="Arial" w:cs="Arial"/>
                <w:sz w:val="16"/>
                <w:szCs w:val="16"/>
              </w:rPr>
              <w:t>ORTADOĞU TEKSTİL TİC. SAN. A.Ş.</w:t>
            </w:r>
          </w:p>
        </w:tc>
        <w:tc>
          <w:tcPr>
            <w:tcW w:w="1892" w:type="dxa"/>
          </w:tcPr>
          <w:p w:rsidR="00871A0E" w:rsidRDefault="0006551B" w:rsidP="000655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  <w:r w:rsidR="00313A77">
              <w:rPr>
                <w:rFonts w:ascii="Arial" w:hAnsi="Arial"/>
                <w:color w:val="000000"/>
                <w:sz w:val="16"/>
              </w:rPr>
              <w:t>4</w:t>
            </w:r>
            <w:r w:rsidR="001C3FD8">
              <w:rPr>
                <w:rFonts w:ascii="Arial" w:hAnsi="Arial"/>
                <w:color w:val="000000"/>
                <w:sz w:val="16"/>
              </w:rPr>
              <w:t>8</w:t>
            </w:r>
            <w:r w:rsidR="00313A77">
              <w:rPr>
                <w:rFonts w:ascii="Arial" w:hAnsi="Arial"/>
                <w:color w:val="000000"/>
                <w:sz w:val="16"/>
              </w:rPr>
              <w:t>.7</w:t>
            </w:r>
            <w:r w:rsidR="001C3FD8">
              <w:rPr>
                <w:rFonts w:ascii="Arial" w:hAnsi="Arial"/>
                <w:color w:val="000000"/>
                <w:sz w:val="16"/>
              </w:rPr>
              <w:t>65</w:t>
            </w:r>
            <w:r w:rsidR="00313A77">
              <w:rPr>
                <w:rFonts w:ascii="Arial" w:hAnsi="Arial"/>
                <w:color w:val="000000"/>
                <w:sz w:val="16"/>
              </w:rPr>
              <w:t>.480</w:t>
            </w:r>
          </w:p>
        </w:tc>
        <w:tc>
          <w:tcPr>
            <w:tcW w:w="2410" w:type="dxa"/>
          </w:tcPr>
          <w:p w:rsidR="00871A0E" w:rsidRDefault="00933E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313A77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1A0E" w:rsidRPr="008D57A4" w:rsidRDefault="008D57A4">
            <w:pPr>
              <w:rPr>
                <w:rFonts w:ascii="Arial" w:hAnsi="Arial" w:cs="Arial"/>
                <w:sz w:val="16"/>
                <w:szCs w:val="16"/>
              </w:rPr>
            </w:pPr>
            <w:r w:rsidRPr="008D57A4">
              <w:rPr>
                <w:rFonts w:ascii="Arial" w:hAnsi="Arial" w:cs="Arial"/>
                <w:sz w:val="16"/>
                <w:szCs w:val="16"/>
              </w:rPr>
              <w:t>BJ TEKSTİL TİCARET VE SANAYİ A.Ş.</w:t>
            </w:r>
          </w:p>
        </w:tc>
        <w:tc>
          <w:tcPr>
            <w:tcW w:w="1892" w:type="dxa"/>
          </w:tcPr>
          <w:p w:rsidR="00871A0E" w:rsidRDefault="0006551B" w:rsidP="000655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  <w:r w:rsidR="001C3FD8">
              <w:rPr>
                <w:rFonts w:ascii="Arial" w:hAnsi="Arial"/>
                <w:color w:val="000000"/>
                <w:sz w:val="16"/>
              </w:rPr>
              <w:t>30</w:t>
            </w:r>
            <w:r w:rsidR="00313A77">
              <w:rPr>
                <w:rFonts w:ascii="Arial" w:hAnsi="Arial"/>
                <w:color w:val="000000"/>
                <w:sz w:val="16"/>
              </w:rPr>
              <w:t>.</w:t>
            </w:r>
            <w:r w:rsidR="001C3FD8">
              <w:rPr>
                <w:rFonts w:ascii="Arial" w:hAnsi="Arial"/>
                <w:color w:val="000000"/>
                <w:sz w:val="16"/>
              </w:rPr>
              <w:t>345</w:t>
            </w:r>
            <w:r w:rsidR="00313A77"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871A0E" w:rsidRDefault="00313A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 w:rsidR="00933EAA"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313A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3A77" w:rsidRPr="00420B72" w:rsidRDefault="00420B72" w:rsidP="00FF3B94">
            <w:pPr>
              <w:rPr>
                <w:rFonts w:ascii="Arial" w:hAnsi="Arial" w:cs="Arial"/>
                <w:sz w:val="16"/>
                <w:szCs w:val="16"/>
              </w:rPr>
            </w:pPr>
            <w:r w:rsidRPr="00420B72">
              <w:rPr>
                <w:rFonts w:ascii="Arial" w:hAnsi="Arial" w:cs="Arial"/>
                <w:sz w:val="16"/>
                <w:szCs w:val="16"/>
              </w:rPr>
              <w:t>OSMAN CAN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0B72">
              <w:rPr>
                <w:rFonts w:ascii="Arial" w:hAnsi="Arial" w:cs="Arial"/>
                <w:sz w:val="16"/>
                <w:szCs w:val="16"/>
              </w:rPr>
              <w:t>PEHLİVAN</w:t>
            </w:r>
          </w:p>
        </w:tc>
        <w:tc>
          <w:tcPr>
            <w:tcW w:w="1892" w:type="dxa"/>
          </w:tcPr>
          <w:p w:rsidR="00313A77" w:rsidRPr="00420B72" w:rsidRDefault="00420B72" w:rsidP="005447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420B72"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420B72">
              <w:rPr>
                <w:rFonts w:ascii="Arial" w:hAnsi="Arial"/>
                <w:color w:val="000000"/>
                <w:sz w:val="16"/>
              </w:rPr>
              <w:t>076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420B72"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313A77" w:rsidRDefault="00420B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</w:t>
            </w:r>
          </w:p>
        </w:tc>
      </w:tr>
      <w:tr w:rsidR="00313A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3A77" w:rsidRPr="00544734" w:rsidRDefault="00544734" w:rsidP="00FF3B94">
            <w:pPr>
              <w:rPr>
                <w:rFonts w:ascii="Arial" w:hAnsi="Arial" w:cs="Arial"/>
                <w:sz w:val="16"/>
                <w:szCs w:val="16"/>
              </w:rPr>
            </w:pPr>
            <w:r w:rsidRPr="00544734">
              <w:rPr>
                <w:rFonts w:ascii="Arial" w:hAnsi="Arial" w:cs="Arial"/>
                <w:sz w:val="16"/>
                <w:szCs w:val="16"/>
              </w:rPr>
              <w:t>BİRİM BİRLEŞİK İNŞAATÇILIK MÜMESSİLLİK SAN. VE TİC. A.Ş.</w:t>
            </w:r>
          </w:p>
        </w:tc>
        <w:tc>
          <w:tcPr>
            <w:tcW w:w="1892" w:type="dxa"/>
          </w:tcPr>
          <w:p w:rsidR="00313A77" w:rsidRDefault="00544734" w:rsidP="005447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21.630.000</w:t>
            </w:r>
          </w:p>
        </w:tc>
        <w:tc>
          <w:tcPr>
            <w:tcW w:w="2410" w:type="dxa"/>
          </w:tcPr>
          <w:p w:rsidR="00313A77" w:rsidRDefault="005447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</w:t>
            </w:r>
          </w:p>
        </w:tc>
      </w:tr>
      <w:tr w:rsidR="00313A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3A77" w:rsidRPr="00544734" w:rsidRDefault="00544734" w:rsidP="00FF3B94">
            <w:pPr>
              <w:rPr>
                <w:rFonts w:ascii="Arial" w:hAnsi="Arial" w:cs="Arial"/>
                <w:sz w:val="16"/>
                <w:szCs w:val="16"/>
              </w:rPr>
            </w:pPr>
            <w:r w:rsidRPr="00544734">
              <w:rPr>
                <w:rFonts w:ascii="Arial" w:hAnsi="Arial" w:cs="Arial"/>
                <w:sz w:val="16"/>
                <w:szCs w:val="16"/>
              </w:rPr>
              <w:t>ABDULKADİR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44734">
              <w:rPr>
                <w:rFonts w:ascii="Arial" w:hAnsi="Arial" w:cs="Arial"/>
                <w:sz w:val="16"/>
                <w:szCs w:val="16"/>
              </w:rPr>
              <w:t>KONUKOĞLU</w:t>
            </w:r>
          </w:p>
        </w:tc>
        <w:tc>
          <w:tcPr>
            <w:tcW w:w="1892" w:type="dxa"/>
          </w:tcPr>
          <w:p w:rsidR="00313A77" w:rsidRPr="00753540" w:rsidRDefault="00544734" w:rsidP="005447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20.088.000</w:t>
            </w:r>
          </w:p>
        </w:tc>
        <w:tc>
          <w:tcPr>
            <w:tcW w:w="2410" w:type="dxa"/>
          </w:tcPr>
          <w:p w:rsidR="00313A77" w:rsidRPr="00753540" w:rsidRDefault="005447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</w:t>
            </w:r>
          </w:p>
        </w:tc>
      </w:tr>
      <w:tr w:rsidR="00313A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3A77" w:rsidRPr="00E97AE3" w:rsidRDefault="00E97AE3" w:rsidP="00FF3B94">
            <w:pPr>
              <w:rPr>
                <w:rFonts w:ascii="Arial" w:hAnsi="Arial" w:cs="Arial"/>
                <w:sz w:val="16"/>
                <w:szCs w:val="16"/>
              </w:rPr>
            </w:pPr>
            <w:r w:rsidRPr="00E97AE3">
              <w:rPr>
                <w:rFonts w:ascii="Arial" w:hAnsi="Arial" w:cs="Arial"/>
                <w:sz w:val="16"/>
                <w:szCs w:val="16"/>
              </w:rPr>
              <w:t>FORUM İNŞAAT DEKORASYON TURİZM SAN. VE TİC. A.Ş.</w:t>
            </w:r>
          </w:p>
        </w:tc>
        <w:tc>
          <w:tcPr>
            <w:tcW w:w="1892" w:type="dxa"/>
          </w:tcPr>
          <w:p w:rsidR="00313A77" w:rsidRPr="00362D87" w:rsidRDefault="00E97AE3" w:rsidP="005447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17.056.311</w:t>
            </w:r>
          </w:p>
        </w:tc>
        <w:tc>
          <w:tcPr>
            <w:tcW w:w="2410" w:type="dxa"/>
          </w:tcPr>
          <w:p w:rsidR="00313A77" w:rsidRPr="00362D87" w:rsidRDefault="00E97A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</w:t>
            </w:r>
          </w:p>
        </w:tc>
      </w:tr>
      <w:tr w:rsidR="009C4D3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D3D" w:rsidRPr="00F27283" w:rsidRDefault="00287A1D" w:rsidP="009C4D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SAYIN</w:t>
            </w:r>
          </w:p>
        </w:tc>
        <w:tc>
          <w:tcPr>
            <w:tcW w:w="1892" w:type="dxa"/>
          </w:tcPr>
          <w:p w:rsidR="009C4D3D" w:rsidRPr="00287A1D" w:rsidRDefault="00287A1D" w:rsidP="00C25B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87A1D">
              <w:rPr>
                <w:rFonts w:ascii="Arial" w:hAnsi="Arial"/>
                <w:color w:val="000000"/>
                <w:sz w:val="16"/>
              </w:rPr>
              <w:t>16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287A1D">
              <w:rPr>
                <w:rFonts w:ascii="Arial" w:hAnsi="Arial"/>
                <w:color w:val="000000"/>
                <w:sz w:val="16"/>
              </w:rPr>
              <w:t>394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287A1D">
              <w:rPr>
                <w:rFonts w:ascii="Arial" w:hAnsi="Arial"/>
                <w:color w:val="000000"/>
                <w:sz w:val="16"/>
              </w:rPr>
              <w:t>108</w:t>
            </w:r>
          </w:p>
        </w:tc>
        <w:tc>
          <w:tcPr>
            <w:tcW w:w="2410" w:type="dxa"/>
          </w:tcPr>
          <w:p w:rsidR="009C4D3D" w:rsidRPr="00362D87" w:rsidRDefault="00287A1D" w:rsidP="009C4D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</w:t>
            </w:r>
          </w:p>
        </w:tc>
      </w:tr>
      <w:tr w:rsidR="009C4D3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D3D" w:rsidRPr="00B5489C" w:rsidRDefault="00B5489C" w:rsidP="009C4D3D">
            <w:pPr>
              <w:rPr>
                <w:rFonts w:ascii="Arial" w:hAnsi="Arial" w:cs="Arial"/>
                <w:sz w:val="16"/>
                <w:szCs w:val="16"/>
              </w:rPr>
            </w:pPr>
            <w:r w:rsidRPr="00B5489C">
              <w:rPr>
                <w:rFonts w:ascii="Arial" w:hAnsi="Arial" w:cs="Arial"/>
                <w:sz w:val="16"/>
                <w:szCs w:val="16"/>
              </w:rPr>
              <w:t>MUAMMER İHSAN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489C">
              <w:rPr>
                <w:rFonts w:ascii="Arial" w:hAnsi="Arial" w:cs="Arial"/>
                <w:sz w:val="16"/>
                <w:szCs w:val="16"/>
              </w:rPr>
              <w:t>KALKAVAN</w:t>
            </w:r>
          </w:p>
        </w:tc>
        <w:tc>
          <w:tcPr>
            <w:tcW w:w="1892" w:type="dxa"/>
          </w:tcPr>
          <w:p w:rsidR="009C4D3D" w:rsidRPr="00B5489C" w:rsidRDefault="00B5489C" w:rsidP="00C25B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B5489C"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5489C">
              <w:rPr>
                <w:rFonts w:ascii="Arial" w:hAnsi="Arial"/>
                <w:color w:val="000000"/>
                <w:sz w:val="16"/>
              </w:rPr>
              <w:t>824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B5489C">
              <w:rPr>
                <w:rFonts w:ascii="Arial" w:hAnsi="Arial"/>
                <w:color w:val="000000"/>
                <w:sz w:val="16"/>
              </w:rPr>
              <w:t>880</w:t>
            </w:r>
          </w:p>
        </w:tc>
        <w:tc>
          <w:tcPr>
            <w:tcW w:w="2410" w:type="dxa"/>
          </w:tcPr>
          <w:p w:rsidR="009C4D3D" w:rsidRPr="00362D87" w:rsidRDefault="00B5489C" w:rsidP="009C4D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</w:t>
            </w:r>
          </w:p>
        </w:tc>
      </w:tr>
      <w:tr w:rsidR="009C4D3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D3D" w:rsidRPr="00B5489C" w:rsidRDefault="00B5489C" w:rsidP="009C4D3D">
            <w:pPr>
              <w:rPr>
                <w:rFonts w:ascii="Arial" w:hAnsi="Arial" w:cs="Arial"/>
                <w:sz w:val="16"/>
                <w:szCs w:val="16"/>
              </w:rPr>
            </w:pPr>
            <w:r w:rsidRPr="00B5489C">
              <w:rPr>
                <w:rFonts w:ascii="Arial" w:hAnsi="Arial" w:cs="Arial"/>
                <w:sz w:val="16"/>
                <w:szCs w:val="16"/>
              </w:rPr>
              <w:lastRenderedPageBreak/>
              <w:t>NEGİŞ GİYİM İMALAT VE İHRACAT A.Ş.</w:t>
            </w:r>
          </w:p>
        </w:tc>
        <w:tc>
          <w:tcPr>
            <w:tcW w:w="1892" w:type="dxa"/>
          </w:tcPr>
          <w:p w:rsidR="009C4D3D" w:rsidRPr="000E76CA" w:rsidRDefault="00B5489C" w:rsidP="00C25B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15.642.000</w:t>
            </w:r>
          </w:p>
        </w:tc>
        <w:tc>
          <w:tcPr>
            <w:tcW w:w="2410" w:type="dxa"/>
          </w:tcPr>
          <w:p w:rsidR="009C4D3D" w:rsidRPr="000E76CA" w:rsidRDefault="00B5489C" w:rsidP="009C4D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</w:t>
            </w:r>
          </w:p>
        </w:tc>
      </w:tr>
      <w:tr w:rsidR="008D57A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D57A4" w:rsidRPr="00F27283" w:rsidRDefault="00B5489C" w:rsidP="008D57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İRFAN HACIOSMANOĞLU</w:t>
            </w:r>
          </w:p>
        </w:tc>
        <w:tc>
          <w:tcPr>
            <w:tcW w:w="1892" w:type="dxa"/>
          </w:tcPr>
          <w:p w:rsidR="008D57A4" w:rsidRPr="000E76CA" w:rsidRDefault="00B5489C" w:rsidP="00C25B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13.161.000</w:t>
            </w:r>
          </w:p>
        </w:tc>
        <w:tc>
          <w:tcPr>
            <w:tcW w:w="2410" w:type="dxa"/>
          </w:tcPr>
          <w:p w:rsidR="008D57A4" w:rsidRPr="000E76CA" w:rsidRDefault="00B54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</w:tr>
      <w:tr w:rsidR="008D57A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D57A4" w:rsidRPr="00F27283" w:rsidRDefault="008D57A4" w:rsidP="008D57A4">
            <w:pPr>
              <w:rPr>
                <w:rFonts w:ascii="Arial" w:hAnsi="Arial" w:cs="Arial"/>
                <w:sz w:val="16"/>
                <w:szCs w:val="16"/>
              </w:rPr>
            </w:pPr>
            <w:r w:rsidRPr="00F27283">
              <w:rPr>
                <w:rFonts w:ascii="Arial" w:hAnsi="Arial" w:cs="Arial"/>
                <w:sz w:val="16"/>
                <w:szCs w:val="16"/>
              </w:rPr>
              <w:t>DİĞER ORTAKLAR (Other)</w:t>
            </w:r>
          </w:p>
        </w:tc>
        <w:tc>
          <w:tcPr>
            <w:tcW w:w="1892" w:type="dxa"/>
          </w:tcPr>
          <w:p w:rsidR="008D57A4" w:rsidRPr="005D2ACF" w:rsidRDefault="00C25B61" w:rsidP="00C25B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262.521.874</w:t>
            </w:r>
          </w:p>
        </w:tc>
        <w:tc>
          <w:tcPr>
            <w:tcW w:w="2410" w:type="dxa"/>
          </w:tcPr>
          <w:p w:rsidR="008D57A4" w:rsidRPr="005D2ACF" w:rsidRDefault="00C25B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29.17</w:t>
            </w:r>
          </w:p>
        </w:tc>
      </w:tr>
      <w:tr w:rsidR="008D57A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D57A4" w:rsidRPr="00F27283" w:rsidRDefault="008D57A4" w:rsidP="008D57A4">
            <w:pPr>
              <w:rPr>
                <w:rFonts w:ascii="Arial" w:hAnsi="Arial"/>
                <w:sz w:val="16"/>
              </w:rPr>
            </w:pPr>
            <w:r w:rsidRPr="00F27283">
              <w:rPr>
                <w:rFonts w:ascii="Arial" w:hAnsi="Arial" w:cs="Arial"/>
                <w:sz w:val="16"/>
                <w:szCs w:val="16"/>
              </w:rPr>
              <w:t xml:space="preserve">HALKA </w:t>
            </w:r>
            <w:r>
              <w:rPr>
                <w:rFonts w:ascii="Arial" w:hAnsi="Arial" w:cs="Arial"/>
                <w:sz w:val="16"/>
                <w:szCs w:val="16"/>
              </w:rPr>
              <w:t>AÇIK KISIM</w:t>
            </w:r>
            <w:r w:rsidRPr="00F27283">
              <w:rPr>
                <w:rFonts w:ascii="Arial" w:hAnsi="Arial" w:cs="Arial"/>
                <w:sz w:val="16"/>
                <w:szCs w:val="16"/>
              </w:rPr>
              <w:t xml:space="preserve"> (Publicly Open)</w:t>
            </w:r>
          </w:p>
        </w:tc>
        <w:tc>
          <w:tcPr>
            <w:tcW w:w="1892" w:type="dxa"/>
          </w:tcPr>
          <w:p w:rsidR="008D57A4" w:rsidRPr="005D2ACF" w:rsidRDefault="0006551B" w:rsidP="000655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</w:t>
            </w:r>
            <w:r w:rsidR="008D57A4" w:rsidRPr="005D2ACF">
              <w:rPr>
                <w:rFonts w:ascii="Arial" w:hAnsi="Arial"/>
                <w:color w:val="000000"/>
                <w:sz w:val="16"/>
              </w:rPr>
              <w:t>4</w:t>
            </w:r>
            <w:r w:rsidR="00DC66ED">
              <w:rPr>
                <w:rFonts w:ascii="Arial" w:hAnsi="Arial"/>
                <w:color w:val="000000"/>
                <w:sz w:val="16"/>
              </w:rPr>
              <w:t>09</w:t>
            </w:r>
            <w:r w:rsidR="008D57A4" w:rsidRPr="005D2ACF">
              <w:rPr>
                <w:rFonts w:ascii="Arial" w:hAnsi="Arial"/>
                <w:color w:val="000000"/>
                <w:sz w:val="16"/>
              </w:rPr>
              <w:t>.4</w:t>
            </w:r>
            <w:r w:rsidR="00DC66ED">
              <w:rPr>
                <w:rFonts w:ascii="Arial" w:hAnsi="Arial"/>
                <w:color w:val="000000"/>
                <w:sz w:val="16"/>
              </w:rPr>
              <w:t>9</w:t>
            </w:r>
            <w:r w:rsidR="008D57A4" w:rsidRPr="005D2ACF">
              <w:rPr>
                <w:rFonts w:ascii="Arial" w:hAnsi="Arial"/>
                <w:color w:val="000000"/>
                <w:sz w:val="16"/>
              </w:rPr>
              <w:t>5.</w:t>
            </w:r>
            <w:r w:rsidR="00DC66ED">
              <w:rPr>
                <w:rFonts w:ascii="Arial" w:hAnsi="Arial"/>
                <w:color w:val="000000"/>
                <w:sz w:val="16"/>
              </w:rPr>
              <w:t>347</w:t>
            </w:r>
          </w:p>
        </w:tc>
        <w:tc>
          <w:tcPr>
            <w:tcW w:w="2410" w:type="dxa"/>
          </w:tcPr>
          <w:p w:rsidR="008D57A4" w:rsidRPr="005D2ACF" w:rsidRDefault="008D57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5D2ACF">
              <w:rPr>
                <w:rFonts w:ascii="Arial" w:hAnsi="Arial"/>
                <w:color w:val="000000"/>
                <w:sz w:val="16"/>
              </w:rPr>
              <w:t>4</w:t>
            </w:r>
            <w:r w:rsidR="00933EAA">
              <w:rPr>
                <w:rFonts w:ascii="Arial" w:hAnsi="Arial"/>
                <w:color w:val="000000"/>
                <w:sz w:val="16"/>
              </w:rPr>
              <w:t>5</w:t>
            </w:r>
            <w:r w:rsidRPr="005D2ACF">
              <w:rPr>
                <w:rFonts w:ascii="Arial" w:hAnsi="Arial"/>
                <w:color w:val="000000"/>
                <w:sz w:val="16"/>
              </w:rPr>
              <w:t>.</w:t>
            </w:r>
            <w:r w:rsidR="00933EAA"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8D57A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D57A4" w:rsidRPr="00F27283" w:rsidRDefault="008D57A4" w:rsidP="008D57A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8D57A4" w:rsidRDefault="0006551B" w:rsidP="000655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 w:rsidR="008D57A4">
              <w:rPr>
                <w:rFonts w:ascii="Arial" w:hAnsi="Arial"/>
                <w:b/>
                <w:color w:val="000000"/>
                <w:sz w:val="16"/>
              </w:rPr>
              <w:t>900.000.000</w:t>
            </w:r>
          </w:p>
        </w:tc>
        <w:tc>
          <w:tcPr>
            <w:tcW w:w="2410" w:type="dxa"/>
          </w:tcPr>
          <w:p w:rsidR="008D57A4" w:rsidRDefault="008D57A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871A0E" w:rsidRDefault="00871A0E">
      <w:pPr>
        <w:jc w:val="both"/>
        <w:rPr>
          <w:rFonts w:ascii="Arial" w:hAnsi="Arial"/>
          <w:sz w:val="18"/>
        </w:rPr>
      </w:pPr>
    </w:p>
    <w:p w:rsidR="00871A0E" w:rsidRDefault="008D57A4">
      <w:pPr>
        <w:jc w:val="center"/>
      </w:pPr>
      <w:r>
        <w:t xml:space="preserve"> </w:t>
      </w:r>
    </w:p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23F5D"/>
    <w:rsid w:val="000455EF"/>
    <w:rsid w:val="0006551B"/>
    <w:rsid w:val="000E3F8C"/>
    <w:rsid w:val="000E76CA"/>
    <w:rsid w:val="00131970"/>
    <w:rsid w:val="001B7D6E"/>
    <w:rsid w:val="001C3FD8"/>
    <w:rsid w:val="00254E0F"/>
    <w:rsid w:val="002651BF"/>
    <w:rsid w:val="00271423"/>
    <w:rsid w:val="00287A1D"/>
    <w:rsid w:val="002B3AAB"/>
    <w:rsid w:val="002D02E9"/>
    <w:rsid w:val="002E07DC"/>
    <w:rsid w:val="00313A77"/>
    <w:rsid w:val="00362D87"/>
    <w:rsid w:val="00364645"/>
    <w:rsid w:val="00387D6D"/>
    <w:rsid w:val="003F48A4"/>
    <w:rsid w:val="00420B72"/>
    <w:rsid w:val="00450106"/>
    <w:rsid w:val="00463760"/>
    <w:rsid w:val="00475165"/>
    <w:rsid w:val="00476D90"/>
    <w:rsid w:val="0047734E"/>
    <w:rsid w:val="004A1385"/>
    <w:rsid w:val="004D073D"/>
    <w:rsid w:val="00500C62"/>
    <w:rsid w:val="00507D93"/>
    <w:rsid w:val="0051420A"/>
    <w:rsid w:val="00544734"/>
    <w:rsid w:val="00581B7A"/>
    <w:rsid w:val="005968DC"/>
    <w:rsid w:val="005D2ACF"/>
    <w:rsid w:val="00662915"/>
    <w:rsid w:val="006E7BEB"/>
    <w:rsid w:val="00717602"/>
    <w:rsid w:val="00753540"/>
    <w:rsid w:val="00775E11"/>
    <w:rsid w:val="00793FBA"/>
    <w:rsid w:val="008253FC"/>
    <w:rsid w:val="00856F2B"/>
    <w:rsid w:val="00871A0E"/>
    <w:rsid w:val="008A3845"/>
    <w:rsid w:val="008D3C7A"/>
    <w:rsid w:val="008D57A4"/>
    <w:rsid w:val="008E62CA"/>
    <w:rsid w:val="00933EAA"/>
    <w:rsid w:val="00965FC2"/>
    <w:rsid w:val="009806BA"/>
    <w:rsid w:val="009C4D3D"/>
    <w:rsid w:val="00A0347B"/>
    <w:rsid w:val="00A35A01"/>
    <w:rsid w:val="00AA1935"/>
    <w:rsid w:val="00B07586"/>
    <w:rsid w:val="00B5489C"/>
    <w:rsid w:val="00B715A9"/>
    <w:rsid w:val="00BB1D76"/>
    <w:rsid w:val="00BE6E20"/>
    <w:rsid w:val="00C25B61"/>
    <w:rsid w:val="00C32834"/>
    <w:rsid w:val="00C334D7"/>
    <w:rsid w:val="00C3781F"/>
    <w:rsid w:val="00C4692F"/>
    <w:rsid w:val="00C71594"/>
    <w:rsid w:val="00C92FB3"/>
    <w:rsid w:val="00CF77A3"/>
    <w:rsid w:val="00D97FDA"/>
    <w:rsid w:val="00DC66ED"/>
    <w:rsid w:val="00DF42EF"/>
    <w:rsid w:val="00DF6F3A"/>
    <w:rsid w:val="00E40D97"/>
    <w:rsid w:val="00E45E9C"/>
    <w:rsid w:val="00E97AE3"/>
    <w:rsid w:val="00EA3A2A"/>
    <w:rsid w:val="00F27283"/>
    <w:rsid w:val="00F33065"/>
    <w:rsid w:val="00F36195"/>
    <w:rsid w:val="00F50515"/>
    <w:rsid w:val="00FF0117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96E20D-49EB-45E9-802E-BF7D6F3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793FBA"/>
    <w:rPr>
      <w:color w:val="0000FF"/>
      <w:u w:val="single"/>
    </w:rPr>
  </w:style>
  <w:style w:type="paragraph" w:styleId="BalloonText">
    <w:name w:val="Balloon Text"/>
    <w:basedOn w:val="Normal"/>
    <w:semiHidden/>
    <w:rsid w:val="00BB1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fat@bankasya.com.tr" TargetMode="External"/><Relationship Id="rId5" Type="http://schemas.openxmlformats.org/officeDocument/2006/relationships/hyperlink" Target="mailto:rifat@bankasya.com.tr" TargetMode="External"/><Relationship Id="rId4" Type="http://schemas.openxmlformats.org/officeDocument/2006/relationships/hyperlink" Target="mailto:ugur@bankasy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6653</CharactersWithSpaces>
  <SharedDoc>false</SharedDoc>
  <HLinks>
    <vt:vector size="18" baseType="variant">
      <vt:variant>
        <vt:i4>720992</vt:i4>
      </vt:variant>
      <vt:variant>
        <vt:i4>6</vt:i4>
      </vt:variant>
      <vt:variant>
        <vt:i4>0</vt:i4>
      </vt:variant>
      <vt:variant>
        <vt:i4>5</vt:i4>
      </vt:variant>
      <vt:variant>
        <vt:lpwstr>mailto:rifat@bankasya.com.tr</vt:lpwstr>
      </vt:variant>
      <vt:variant>
        <vt:lpwstr/>
      </vt:variant>
      <vt:variant>
        <vt:i4>720992</vt:i4>
      </vt:variant>
      <vt:variant>
        <vt:i4>3</vt:i4>
      </vt:variant>
      <vt:variant>
        <vt:i4>0</vt:i4>
      </vt:variant>
      <vt:variant>
        <vt:i4>5</vt:i4>
      </vt:variant>
      <vt:variant>
        <vt:lpwstr>mailto:rifat@bankasya.com.tr</vt:lpwstr>
      </vt:variant>
      <vt:variant>
        <vt:lpwstr/>
      </vt:variant>
      <vt:variant>
        <vt:i4>4194340</vt:i4>
      </vt:variant>
      <vt:variant>
        <vt:i4>0</vt:i4>
      </vt:variant>
      <vt:variant>
        <vt:i4>0</vt:i4>
      </vt:variant>
      <vt:variant>
        <vt:i4>5</vt:i4>
      </vt:variant>
      <vt:variant>
        <vt:lpwstr>mailto:ugur@bankasya.com.tr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2009-04-21T13:42:00Z</cp:lastPrinted>
  <dcterms:created xsi:type="dcterms:W3CDTF">2022-09-01T21:50:00Z</dcterms:created>
  <dcterms:modified xsi:type="dcterms:W3CDTF">2022-09-01T21:50:00Z</dcterms:modified>
</cp:coreProperties>
</file>