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6230">
            <w:pPr>
              <w:pStyle w:val="Heading2"/>
            </w:pPr>
            <w:r>
              <w:t>VAKKO TEKSTİL VE HAZIR GİYİM SAN. İŞL. A.Ş.</w:t>
            </w:r>
          </w:p>
        </w:tc>
      </w:tr>
    </w:tbl>
    <w:p w:rsidR="00000000" w:rsidRDefault="00DB6230">
      <w:pPr>
        <w:rPr>
          <w:rFonts w:ascii="Arial" w:hAnsi="Arial"/>
          <w:sz w:val="18"/>
        </w:rPr>
      </w:pPr>
    </w:p>
    <w:p w:rsidR="00000000" w:rsidRDefault="00DB6230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EŞARP, KRAVAT, GÖMLEK VB HAZIR GİYİM EŞYALARI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PR. DR.  FAHRETTİN KERİM GÖKAY CD. NO: 13  B 1 BLOK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</w:t>
            </w:r>
            <w:r>
              <w:rPr>
                <w:rFonts w:ascii="Arial" w:hAnsi="Arial" w:cs="Arial"/>
                <w:b/>
                <w:sz w:val="16"/>
                <w:szCs w:val="16"/>
              </w:rPr>
              <w:t>ad Office)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ALTUNİZADE,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SANAYİ MH. 1673 SK NO:25 ESENYURT/İSTANBUL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VAKKO 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YÖNETİM KURULU (Temsil ettiği tüzel kişi gruplar </w:t>
            </w:r>
            <w:r>
              <w:rPr>
                <w:rFonts w:ascii="Arial" w:hAnsi="Arial" w:cs="Arial"/>
                <w:b/>
                <w:sz w:val="16"/>
                <w:szCs w:val="16"/>
              </w:rPr>
              <w:t>belirtilerek)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ALBERT HAKKO     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CEM HAKKO             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JEFF HAKKO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ALBER ELHADEF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BÜLENT AHMET TURAN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ki personelin adı, soyadı, görevi, e-mail adresi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0" w:name="OLE_LINK1"/>
            <w:r>
              <w:rPr>
                <w:rFonts w:ascii="Arial" w:hAnsi="Arial" w:cs="Arial"/>
                <w:color w:val="0000FF"/>
                <w:sz w:val="16"/>
                <w:szCs w:val="16"/>
              </w:rPr>
              <w:t>SADETTİN TANSELİ  _ MALİ İŞLER GRUP BAŞKANI</w:t>
            </w:r>
          </w:p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SADİT@VAKKO.COM.TR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</w:t>
            </w:r>
            <w:r>
              <w:rPr>
                <w:rFonts w:ascii="Arial" w:hAnsi="Arial" w:cs="Arial"/>
                <w:b/>
                <w:sz w:val="16"/>
                <w:szCs w:val="16"/>
              </w:rPr>
              <w:t>örevi, e-mail adresi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SADETTİN TANSELİ  _ MALİ İŞLER GRUP BAŞKANI</w:t>
            </w:r>
          </w:p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SADİT@VAKKO.COM.TR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212 622 55 00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212 672 33 88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</w:t>
            </w:r>
            <w:r>
              <w:rPr>
                <w:rFonts w:ascii="Arial" w:hAnsi="Arial" w:cs="Arial"/>
                <w:b/>
                <w:sz w:val="16"/>
                <w:szCs w:val="16"/>
              </w:rPr>
              <w:t>csimile)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VAKKO.COM.TR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HAYIR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SADİT@VAKKO.COM.TR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, İLKNURZOR@VAKKO.COM.TR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  _  1283</w:t>
            </w:r>
          </w:p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 2009 _ 1094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01.04.2007 _ 31.10.20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TÜRK-İŞ ‘ 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TÜRKİYİ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160.000.000,-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B62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DB62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B62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000000" w:rsidRDefault="00DB6230">
      <w:pPr>
        <w:rPr>
          <w:rFonts w:ascii="Arial" w:hAnsi="Arial"/>
          <w:sz w:val="18"/>
        </w:rPr>
      </w:pPr>
    </w:p>
    <w:p w:rsidR="00000000" w:rsidRDefault="00DB6230">
      <w:pPr>
        <w:rPr>
          <w:rFonts w:ascii="Arial" w:hAnsi="Arial"/>
          <w:sz w:val="18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B6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tbl>
      <w:tblPr>
        <w:tblW w:w="666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120"/>
        <w:gridCol w:w="780"/>
        <w:gridCol w:w="1340"/>
        <w:gridCol w:w="780"/>
        <w:gridCol w:w="1400"/>
        <w:gridCol w:w="780"/>
      </w:tblGrid>
      <w:tr w:rsidR="00000000"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Eşarp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KRAVAT(ADET)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GÖMLEK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</w:tr>
      <w:tr w:rsidR="00000000">
        <w:trPr>
          <w:cantSplit/>
          <w:trHeight w:val="2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</w:tr>
      <w:tr w:rsidR="00000000"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SCARF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(C.U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.R.)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SHIRT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(C.U.R.)</w:t>
            </w:r>
          </w:p>
        </w:tc>
      </w:tr>
      <w:tr w:rsidR="00000000">
        <w:trPr>
          <w:cantSplit/>
          <w:trHeight w:val="2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(%)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(%)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DB6230">
            <w:pP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(%)</w:t>
            </w:r>
          </w:p>
        </w:tc>
      </w:tr>
      <w:tr w:rsidR="00000000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167.937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39,98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265.215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88,99</w:t>
            </w:r>
          </w:p>
        </w:tc>
      </w:tr>
      <w:tr w:rsidR="00000000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219.424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308.157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96,87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 TUR" w:hAnsi="Arial TUR"/>
          <w:sz w:val="16"/>
        </w:rPr>
      </w:pPr>
    </w:p>
    <w:p w:rsidR="00000000" w:rsidRDefault="00DB623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B62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DB6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tbl>
      <w:tblPr>
        <w:tblW w:w="514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740"/>
        <w:gridCol w:w="740"/>
        <w:gridCol w:w="780"/>
        <w:gridCol w:w="780"/>
        <w:gridCol w:w="800"/>
        <w:gridCol w:w="840"/>
      </w:tblGrid>
      <w:tr w:rsidR="00000000"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EŞARP (ADET)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KRAVAT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GÖMLEK (ADET)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SCARF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 TUR" w:hAnsi="Arial TUR" w:cs="Arial TUR"/>
                <w:b/>
                <w:bCs/>
                <w:i/>
                <w:iCs/>
                <w:sz w:val="16"/>
                <w:szCs w:val="16"/>
                <w:u w:val="single"/>
              </w:rPr>
              <w:t>SHIRT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273.990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172.486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288.050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233.716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158.989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257.409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8"/>
        </w:rPr>
      </w:pPr>
    </w:p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6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b/>
          <w:u w:val="single"/>
        </w:rPr>
      </w:pPr>
    </w:p>
    <w:tbl>
      <w:tblPr>
        <w:tblW w:w="91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740"/>
        <w:gridCol w:w="800"/>
        <w:gridCol w:w="1400"/>
        <w:gridCol w:w="800"/>
        <w:gridCol w:w="1500"/>
        <w:gridCol w:w="800"/>
        <w:gridCol w:w="1620"/>
      </w:tblGrid>
      <w:tr w:rsidR="00000000"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İthalat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Maliyetler İçindeki Payı(%)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İhracat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Satışlar İçinde</w:t>
            </w: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>ki Payı(%)</w:t>
            </w:r>
          </w:p>
        </w:tc>
      </w:tr>
      <w:tr w:rsidR="00000000"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 xml:space="preserve">Imports ($)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Proportion In Costs(%)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Exports ($)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Proportion In Sales(%)</w:t>
            </w:r>
          </w:p>
        </w:tc>
      </w:tr>
      <w:tr w:rsidR="00000000">
        <w:trPr>
          <w:cantSplit/>
          <w:trHeight w:val="4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65.407.902,- 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54,69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2.838.160,- 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1,45</w:t>
            </w:r>
          </w:p>
        </w:tc>
      </w:tr>
      <w:tr w:rsidR="00000000">
        <w:trPr>
          <w:cantSplit/>
          <w:trHeight w:val="420"/>
        </w:trPr>
        <w:tc>
          <w:tcPr>
            <w:tcW w:w="46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47.254.317,-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40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2.309.531,-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</w:tr>
      <w:tr w:rsidR="00000000">
        <w:trPr>
          <w:cantSplit/>
          <w:trHeight w:val="4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56.883.000,-YTL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4.751.213,-YTL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2,73</w:t>
            </w:r>
          </w:p>
        </w:tc>
      </w:tr>
      <w:tr w:rsidR="00000000">
        <w:trPr>
          <w:cantSplit/>
          <w:trHeight w:val="420"/>
        </w:trPr>
        <w:tc>
          <w:tcPr>
            <w:tcW w:w="46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37.737.442,-USD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3.685.908</w:t>
            </w:r>
            <w:r>
              <w:rPr>
                <w:rFonts w:ascii="Arial" w:hAnsi="Arial" w:cs="Arial"/>
                <w:sz w:val="16"/>
                <w:szCs w:val="16"/>
              </w:rPr>
              <w:t>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DB62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</w:p>
        </w:tc>
      </w:tr>
    </w:tbl>
    <w:p w:rsidR="00000000" w:rsidRDefault="00DB6230">
      <w:pPr>
        <w:rPr>
          <w:rFonts w:ascii="Arial" w:hAnsi="Arial"/>
          <w:b/>
          <w:u w:val="single"/>
        </w:rPr>
      </w:pPr>
    </w:p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62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B6230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62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B62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62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62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62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ginning Date -</w:t>
            </w:r>
          </w:p>
        </w:tc>
        <w:tc>
          <w:tcPr>
            <w:tcW w:w="2214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62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62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B62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B62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B62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623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B62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B62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B62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6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623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623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B623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62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B62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62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299" w:type="dxa"/>
          </w:tcPr>
          <w:p w:rsidR="00000000" w:rsidRDefault="00DB62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933.502,- YTL</w:t>
            </w:r>
          </w:p>
        </w:tc>
        <w:tc>
          <w:tcPr>
            <w:tcW w:w="2342" w:type="dxa"/>
          </w:tcPr>
          <w:p w:rsidR="00000000" w:rsidRDefault="00DB62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rPr>
          <w:rFonts w:ascii="Arial" w:hAnsi="Arial"/>
          <w:color w:val="FF0000"/>
          <w:sz w:val="16"/>
        </w:rPr>
      </w:pPr>
    </w:p>
    <w:p w:rsidR="00000000" w:rsidRDefault="00DB623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62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 başlıca ortakları ve sermaye payları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DB62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62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B6230">
      <w:pPr>
        <w:rPr>
          <w:rFonts w:ascii="Arial" w:hAnsi="Arial"/>
          <w:sz w:val="16"/>
        </w:rPr>
      </w:pPr>
    </w:p>
    <w:p w:rsidR="00000000" w:rsidRDefault="00DB6230">
      <w:pPr>
        <w:jc w:val="both"/>
        <w:rPr>
          <w:rFonts w:ascii="Arial" w:hAnsi="Arial"/>
          <w:sz w:val="18"/>
        </w:rPr>
      </w:pPr>
    </w:p>
    <w:p w:rsidR="00000000" w:rsidRDefault="00DB6230">
      <w:pPr>
        <w:jc w:val="both"/>
        <w:rPr>
          <w:rFonts w:ascii="Arial" w:hAnsi="Arial"/>
          <w:sz w:val="18"/>
        </w:rPr>
      </w:pPr>
    </w:p>
    <w:tbl>
      <w:tblPr>
        <w:tblW w:w="82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0"/>
        <w:gridCol w:w="2240"/>
        <w:gridCol w:w="1940"/>
      </w:tblGrid>
      <w:tr w:rsidR="00000000">
        <w:trPr>
          <w:trHeight w:val="45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rPr>
                <w:rFonts w:ascii="Arial TUR" w:eastAsia="Arial Unicode MS" w:hAnsi="Arial TUR" w:cs="Arial TUR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 TUR" w:eastAsia="Arial Unicode MS" w:hAnsi="Arial TUR" w:cs="Arial TUR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Sermaye Payı (%)</w:t>
            </w:r>
          </w:p>
        </w:tc>
      </w:tr>
      <w:tr w:rsidR="00000000">
        <w:trPr>
          <w:trHeight w:val="45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rPr>
                <w:rFonts w:ascii="Arial" w:eastAsia="Arial Unicode MS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eastAsia="Arial Unicode MS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000000" w:rsidRDefault="00DB6230">
            <w:pPr>
              <w:jc w:val="center"/>
              <w:rPr>
                <w:rFonts w:ascii="Arial" w:eastAsia="Arial Unicode MS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VAKKO HOLDİNG A.Ş.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129.123.197,98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80,70%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A</w:t>
            </w:r>
            <w:r>
              <w:rPr>
                <w:rFonts w:ascii="Arial TUR" w:hAnsi="Arial TUR" w:cs="Arial TUR"/>
              </w:rPr>
              <w:t>LBER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347.967,99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0,22%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CEM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858.875,42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0,54%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KLER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1.904.548,54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1,19%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VİKTORYA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883.711,99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0,55%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JEFF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667.967,99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0,42%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ALBER ELH</w:t>
            </w:r>
            <w:r>
              <w:rPr>
                <w:rFonts w:ascii="Arial TUR" w:hAnsi="Arial TUR" w:cs="Arial TUR"/>
              </w:rPr>
              <w:t>ADEF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527.679,99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0,33%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SİMA LODRİK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 86.016,00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0,05%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VİTALİ HAKKO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             32,00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0,00%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HALHA AÇIK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  25.600.002,11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jc w:val="right"/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>16,00%</w:t>
            </w: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</w:tr>
      <w:tr w:rsidR="00000000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  <w:r>
              <w:rPr>
                <w:rFonts w:ascii="Arial TUR" w:hAnsi="Arial TUR" w:cs="Arial TUR"/>
              </w:rPr>
              <w:t xml:space="preserve">         160.000.000,00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DB6230">
            <w:pPr>
              <w:rPr>
                <w:rFonts w:ascii="Arial TUR" w:eastAsia="Arial Unicode MS" w:hAnsi="Arial TUR" w:cs="Arial TUR"/>
              </w:rPr>
            </w:pPr>
          </w:p>
        </w:tc>
      </w:tr>
    </w:tbl>
    <w:p w:rsidR="00000000" w:rsidRDefault="00DB6230">
      <w:pPr>
        <w:jc w:val="both"/>
        <w:rPr>
          <w:rFonts w:ascii="Arial" w:hAnsi="Arial"/>
          <w:sz w:val="18"/>
        </w:rPr>
      </w:pPr>
    </w:p>
    <w:p w:rsidR="00000000" w:rsidRDefault="00DB6230">
      <w:pPr>
        <w:jc w:val="both"/>
        <w:rPr>
          <w:rFonts w:ascii="Arial" w:hAnsi="Arial"/>
          <w:sz w:val="18"/>
        </w:rPr>
      </w:pPr>
    </w:p>
    <w:p w:rsidR="00000000" w:rsidRDefault="00DB623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230"/>
    <w:rsid w:val="00D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C74B-FA94-4563-A027-248111A0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dit@vakk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5348</CharactersWithSpaces>
  <SharedDoc>false</SharedDoc>
  <HLinks>
    <vt:vector size="6" baseType="variant">
      <vt:variant>
        <vt:i4>589927</vt:i4>
      </vt:variant>
      <vt:variant>
        <vt:i4>0</vt:i4>
      </vt:variant>
      <vt:variant>
        <vt:i4>0</vt:i4>
      </vt:variant>
      <vt:variant>
        <vt:i4>5</vt:i4>
      </vt:variant>
      <vt:variant>
        <vt:lpwstr>mailto:sadit@vakko.com.tr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2009-05-04T18:16:00Z</cp:lastPrinted>
  <dcterms:created xsi:type="dcterms:W3CDTF">2022-09-01T21:52:00Z</dcterms:created>
  <dcterms:modified xsi:type="dcterms:W3CDTF">2022-09-01T21:52:00Z</dcterms:modified>
</cp:coreProperties>
</file>