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0B5BF" w14:textId="77777777" w:rsidR="00BC2A6D" w:rsidRDefault="00000000">
      <w:pPr>
        <w:pStyle w:val="Body"/>
        <w:spacing w:after="0" w:line="240" w:lineRule="auto"/>
        <w:rPr>
          <w:rFonts w:ascii="Times New Roman" w:eastAsia="Times New Roman" w:hAnsi="Times New Roman" w:cs="Times New Roman"/>
          <w:b/>
          <w:bCs/>
          <w:color w:val="333132"/>
          <w:kern w:val="36"/>
          <w:u w:color="333132"/>
        </w:rPr>
      </w:pPr>
      <w:r>
        <w:rPr>
          <w:rFonts w:ascii="Times New Roman" w:hAnsi="Times New Roman"/>
          <w:b/>
          <w:bCs/>
          <w:color w:val="333132"/>
          <w:kern w:val="36"/>
          <w:u w:color="333132"/>
        </w:rPr>
        <w:t>Global determinants of yield variability under regenerative farming practices across climate, soil, and topography: A meta-analysis</w:t>
      </w:r>
    </w:p>
    <w:p w14:paraId="5D690E17" w14:textId="77777777" w:rsidR="00BC2A6D" w:rsidRDefault="00BC2A6D">
      <w:pPr>
        <w:pStyle w:val="Body"/>
        <w:spacing w:after="0" w:line="240" w:lineRule="auto"/>
        <w:rPr>
          <w:rFonts w:ascii="Times New Roman" w:eastAsia="Times New Roman" w:hAnsi="Times New Roman" w:cs="Times New Roman"/>
          <w:b/>
          <w:bCs/>
          <w:color w:val="333132"/>
          <w:kern w:val="36"/>
          <w:u w:color="333132"/>
        </w:rPr>
      </w:pPr>
    </w:p>
    <w:p w14:paraId="224E80EB" w14:textId="77777777" w:rsidR="00BC2A6D" w:rsidRDefault="00000000">
      <w:pPr>
        <w:pStyle w:val="Body"/>
        <w:spacing w:after="0" w:line="240" w:lineRule="auto"/>
        <w:rPr>
          <w:rFonts w:ascii="Times New Roman" w:eastAsia="Times New Roman" w:hAnsi="Times New Roman" w:cs="Times New Roman"/>
        </w:rPr>
      </w:pPr>
      <w:r>
        <w:rPr>
          <w:rFonts w:ascii="Times New Roman" w:hAnsi="Times New Roman"/>
          <w:lang w:val="pt-PT"/>
        </w:rPr>
        <w:t>Kpade O. L. Hounkpatin</w:t>
      </w:r>
      <w:r>
        <w:rPr>
          <w:rFonts w:ascii="Times New Roman" w:hAnsi="Times New Roman"/>
          <w:vertAlign w:val="superscript"/>
          <w:lang w:val="pt-PT"/>
        </w:rPr>
        <w:t>1</w:t>
      </w:r>
      <w:r>
        <w:rPr>
          <w:rFonts w:ascii="Times New Roman" w:hAnsi="Times New Roman"/>
          <w:lang w:val="pt-PT"/>
        </w:rPr>
        <w:t>*, Johannes Piipponen</w:t>
      </w:r>
      <w:r>
        <w:rPr>
          <w:rFonts w:ascii="Times New Roman" w:hAnsi="Times New Roman"/>
          <w:vertAlign w:val="superscript"/>
          <w:lang w:val="pt-PT"/>
        </w:rPr>
        <w:t>1</w:t>
      </w:r>
      <w:r>
        <w:rPr>
          <w:rFonts w:ascii="Times New Roman" w:hAnsi="Times New Roman"/>
          <w:lang w:val="pt-PT"/>
        </w:rPr>
        <w:t>, Emanuela De Giorgi</w:t>
      </w:r>
      <w:r>
        <w:rPr>
          <w:rFonts w:ascii="Times New Roman" w:hAnsi="Times New Roman"/>
          <w:vertAlign w:val="superscript"/>
          <w:lang w:val="pt-PT"/>
        </w:rPr>
        <w:t>2</w:t>
      </w:r>
      <w:r>
        <w:rPr>
          <w:rFonts w:ascii="Times New Roman" w:hAnsi="Times New Roman"/>
          <w:lang w:val="pt-PT"/>
        </w:rPr>
        <w:t>, Mika Jalava</w:t>
      </w:r>
      <w:r>
        <w:rPr>
          <w:rFonts w:ascii="Times New Roman" w:hAnsi="Times New Roman"/>
          <w:vertAlign w:val="superscript"/>
          <w:lang w:val="pt-PT"/>
        </w:rPr>
        <w:t>1</w:t>
      </w:r>
      <w:r>
        <w:rPr>
          <w:rFonts w:ascii="Times New Roman" w:hAnsi="Times New Roman"/>
          <w:lang w:val="pt-PT"/>
        </w:rPr>
        <w:t>, Jeroen Poelert</w:t>
      </w:r>
      <w:r>
        <w:rPr>
          <w:rFonts w:ascii="Times New Roman" w:hAnsi="Times New Roman"/>
          <w:vertAlign w:val="superscript"/>
          <w:lang w:val="pt-PT"/>
        </w:rPr>
        <w:t>1</w:t>
      </w:r>
      <w:r>
        <w:rPr>
          <w:rFonts w:ascii="Times New Roman" w:hAnsi="Times New Roman"/>
          <w:lang w:val="pt-PT"/>
        </w:rPr>
        <w:t>, Zia Mehrabi</w:t>
      </w:r>
      <w:r>
        <w:rPr>
          <w:rFonts w:ascii="Times New Roman" w:hAnsi="Times New Roman"/>
          <w:vertAlign w:val="superscript"/>
          <w:lang w:val="pt-PT"/>
        </w:rPr>
        <w:t>3</w:t>
      </w:r>
      <w:r>
        <w:rPr>
          <w:rFonts w:ascii="Times New Roman" w:hAnsi="Times New Roman"/>
          <w:lang w:val="pt-PT"/>
        </w:rPr>
        <w:t>, Matti Kummu</w:t>
      </w:r>
      <w:r>
        <w:rPr>
          <w:rFonts w:ascii="Times New Roman" w:hAnsi="Times New Roman"/>
          <w:vertAlign w:val="superscript"/>
          <w:lang w:val="pt-PT"/>
        </w:rPr>
        <w:t>1</w:t>
      </w:r>
      <w:r>
        <w:rPr>
          <w:rFonts w:ascii="Times New Roman" w:hAnsi="Times New Roman"/>
          <w:lang w:val="pt-PT"/>
        </w:rPr>
        <w:t xml:space="preserve">* </w:t>
      </w:r>
    </w:p>
    <w:p w14:paraId="38B474D0" w14:textId="77777777" w:rsidR="00BC2A6D" w:rsidRDefault="00BC2A6D">
      <w:pPr>
        <w:pStyle w:val="Body"/>
        <w:spacing w:after="0" w:line="240" w:lineRule="auto"/>
        <w:rPr>
          <w:rFonts w:ascii="Times New Roman" w:eastAsia="Times New Roman" w:hAnsi="Times New Roman" w:cs="Times New Roman"/>
        </w:rPr>
      </w:pPr>
    </w:p>
    <w:p w14:paraId="7DF2274D" w14:textId="77777777" w:rsidR="00BC2A6D" w:rsidRDefault="00000000">
      <w:pPr>
        <w:pStyle w:val="ListParagraph"/>
        <w:numPr>
          <w:ilvl w:val="0"/>
          <w:numId w:val="2"/>
        </w:numPr>
        <w:spacing w:after="0" w:line="240" w:lineRule="auto"/>
        <w:rPr>
          <w:rFonts w:ascii="Times New Roman" w:hAnsi="Times New Roman"/>
        </w:rPr>
      </w:pPr>
      <w:r>
        <w:rPr>
          <w:rFonts w:ascii="Times New Roman" w:hAnsi="Times New Roman"/>
          <w:vertAlign w:val="superscript"/>
        </w:rPr>
        <w:t xml:space="preserve">Water and Development Research Group, Aalto University, Espoo, Finland </w:t>
      </w:r>
    </w:p>
    <w:p w14:paraId="4DDAA9B6" w14:textId="77777777" w:rsidR="00BC2A6D" w:rsidRDefault="00000000">
      <w:pPr>
        <w:pStyle w:val="ListParagraph"/>
        <w:numPr>
          <w:ilvl w:val="0"/>
          <w:numId w:val="2"/>
        </w:numPr>
        <w:spacing w:after="0" w:line="240" w:lineRule="auto"/>
        <w:rPr>
          <w:rFonts w:ascii="Times New Roman" w:hAnsi="Times New Roman"/>
        </w:rPr>
      </w:pPr>
      <w:r>
        <w:rPr>
          <w:rFonts w:ascii="Times New Roman" w:hAnsi="Times New Roman"/>
          <w:vertAlign w:val="superscript"/>
        </w:rPr>
        <w:t xml:space="preserve">Department of Environment, Land and Infrastructure Engineering, </w:t>
      </w:r>
      <w:proofErr w:type="spellStart"/>
      <w:r>
        <w:rPr>
          <w:rFonts w:ascii="Times New Roman" w:hAnsi="Times New Roman"/>
          <w:vertAlign w:val="superscript"/>
        </w:rPr>
        <w:t>Politecnico</w:t>
      </w:r>
      <w:proofErr w:type="spellEnd"/>
      <w:r>
        <w:rPr>
          <w:rFonts w:ascii="Times New Roman" w:hAnsi="Times New Roman"/>
          <w:vertAlign w:val="superscript"/>
        </w:rPr>
        <w:t xml:space="preserve"> di Torino, Torino, Italy</w:t>
      </w:r>
    </w:p>
    <w:p w14:paraId="58AD84F4" w14:textId="77777777" w:rsidR="00BC2A6D" w:rsidRDefault="00000000">
      <w:pPr>
        <w:pStyle w:val="ListParagraph"/>
        <w:numPr>
          <w:ilvl w:val="0"/>
          <w:numId w:val="2"/>
        </w:numPr>
        <w:spacing w:after="0" w:line="240" w:lineRule="auto"/>
        <w:rPr>
          <w:rFonts w:ascii="Times New Roman" w:hAnsi="Times New Roman"/>
        </w:rPr>
      </w:pPr>
      <w:r>
        <w:rPr>
          <w:rFonts w:ascii="Times New Roman" w:hAnsi="Times New Roman"/>
          <w:vertAlign w:val="superscript"/>
        </w:rPr>
        <w:t>University of Colorado, Boulder</w:t>
      </w:r>
    </w:p>
    <w:p w14:paraId="13D27CAE" w14:textId="77777777" w:rsidR="00BC2A6D" w:rsidRDefault="00000000">
      <w:pPr>
        <w:pStyle w:val="Body"/>
        <w:shd w:val="clear" w:color="auto" w:fill="FFFFFF"/>
        <w:spacing w:before="100" w:after="100" w:line="240" w:lineRule="auto"/>
        <w:outlineLvl w:val="0"/>
        <w:rPr>
          <w:rFonts w:ascii="Times New Roman" w:eastAsia="Times New Roman" w:hAnsi="Times New Roman" w:cs="Times New Roman"/>
          <w:b/>
          <w:bCs/>
          <w:color w:val="333132"/>
          <w:kern w:val="36"/>
          <w:u w:color="333132"/>
        </w:rPr>
      </w:pPr>
      <w:r>
        <w:rPr>
          <w:rFonts w:ascii="Times New Roman" w:hAnsi="Times New Roman"/>
          <w:b/>
          <w:bCs/>
          <w:color w:val="333132"/>
          <w:kern w:val="36"/>
          <w:u w:color="333132"/>
          <w:lang w:val="de-DE"/>
        </w:rPr>
        <w:t>Abstract</w:t>
      </w:r>
    </w:p>
    <w:p w14:paraId="0D05D23E" w14:textId="64C89846" w:rsidR="00BC2A6D" w:rsidRDefault="00000000">
      <w:pPr>
        <w:pStyle w:val="Body"/>
        <w:widowControl w:val="0"/>
        <w:spacing w:after="0" w:line="260" w:lineRule="exact"/>
        <w:jc w:val="both"/>
        <w:rPr>
          <w:rFonts w:ascii="Times New Roman" w:hAnsi="Times New Roman"/>
        </w:rPr>
      </w:pPr>
      <w:r>
        <w:rPr>
          <w:rFonts w:ascii="Times New Roman" w:hAnsi="Times New Roman"/>
        </w:rPr>
        <w:t>Enhancing ecosystem services without compromising crop productivity is a central challenge for sustainable agriculture. Yet, yield responses to practices which are used in regenerative farming (RFPs) remain highly variable across environments. Here, we synthesized global meta-analyses on four major RFP (agroforestry (AF), cover cropping (CC), no-tillage (NT), organic farming (OF)) and linked field comparisons with spatially explicit climate, soil, and topographic data to identify environmental and management factors associated with yield variability. O</w:t>
      </w:r>
      <w:commentRangeStart w:id="0"/>
      <w:r>
        <w:rPr>
          <w:rFonts w:ascii="Times New Roman" w:hAnsi="Times New Roman"/>
        </w:rPr>
        <w:t>verall, RFPs produced a modest but mean yield increase of 0.8% (with 95% confidence interval, CI: 0.3–1.3%), with large heterogeneity among practices. AF and CC showed consistent benefits (12.3%; 9.3–15.5% and 7.5%; 5.4–9.6%, respectively), while NT (−0.7%; −1.2 to −0.2%) and OF (−2.0%;−3.9 to 0.2%) tended to reduce yields on average</w:t>
      </w:r>
      <w:commentRangeEnd w:id="0"/>
      <w:r>
        <w:commentReference w:id="0"/>
      </w:r>
      <w:r>
        <w:rPr>
          <w:rFonts w:ascii="Times New Roman" w:hAnsi="Times New Roman"/>
        </w:rPr>
        <w:t>. Yield gains were most pronounced in arid and temperate regions, in low-fertility or coarse-textured soils, and at elevated or sloping sites, suggesting that RFPs perform best where soil structure, water retention, or nutrient availability constrain productivity. Sub-analysis of NT, where combinations of NT with nitrogen input, soil cover,</w:t>
      </w:r>
      <w:commentRangeStart w:id="1"/>
      <w:r>
        <w:rPr>
          <w:rFonts w:ascii="Times New Roman" w:hAnsi="Times New Roman"/>
        </w:rPr>
        <w:t xml:space="preserve"> weed control, and rotation were analyzed, indicates that yield improvements occurred mainly when nitrogen input, soil cover, weed control, and rotation were applied together, especially under arid climate</w:t>
      </w:r>
      <w:commentRangeEnd w:id="1"/>
      <w:r>
        <w:commentReference w:id="1"/>
      </w:r>
      <w:r>
        <w:rPr>
          <w:rFonts w:ascii="Times New Roman" w:hAnsi="Times New Roman"/>
        </w:rPr>
        <w:t>s. These results highlight that the performance of RFPs is context-specific, shaped by interactions between management and environmental conditions. Targeting RFP adoption to locally limiting soil and climate factors can maximize yield potential while advancing sustainable intensification and soil restoration.</w:t>
      </w:r>
    </w:p>
    <w:p w14:paraId="54B72F87" w14:textId="77777777" w:rsidR="009800E7" w:rsidRDefault="009800E7">
      <w:pPr>
        <w:pStyle w:val="Body"/>
        <w:widowControl w:val="0"/>
        <w:spacing w:after="0" w:line="260" w:lineRule="exact"/>
        <w:jc w:val="both"/>
        <w:rPr>
          <w:rFonts w:ascii="Times New Roman" w:hAnsi="Times New Roman"/>
        </w:rPr>
      </w:pPr>
    </w:p>
    <w:p w14:paraId="4BFC7118" w14:textId="525BC5AA" w:rsidR="009800E7" w:rsidRPr="009800E7" w:rsidRDefault="009800E7" w:rsidP="009800E7">
      <w:pPr>
        <w:pStyle w:val="Body"/>
        <w:widowControl w:val="0"/>
        <w:spacing w:line="260" w:lineRule="exact"/>
        <w:jc w:val="both"/>
      </w:pPr>
      <w:bookmarkStart w:id="2" w:name="_Hlk211867018"/>
      <w:r>
        <w:rPr>
          <w:rFonts w:ascii="Times New Roman" w:hAnsi="Times New Roman"/>
        </w:rPr>
        <w:t>Reviewer: “</w:t>
      </w:r>
      <w:r>
        <w:rPr>
          <w:rFonts w:ascii="Times New Roman" w:hAnsi="Times New Roman"/>
        </w:rPr>
        <w:t>O</w:t>
      </w:r>
      <w:commentRangeStart w:id="3"/>
      <w:r>
        <w:rPr>
          <w:rFonts w:ascii="Times New Roman" w:hAnsi="Times New Roman"/>
        </w:rPr>
        <w:t>verall, RFPs produced a modest but mean yield increase of 0.8% (with 95% confidence interval, CI: 0.3–1.3%), with large heterogeneity among practices. AF and CC showed consistent benefits (12.3%; 9.3–15.5% and 7.5%; 5.4–9.6%, respectively), while NT (−0.7%; −1.2 to −0.2%) and OF (−2.0%;−3.9 to 0.2%) tended to reduce yields on average</w:t>
      </w:r>
      <w:commentRangeEnd w:id="3"/>
      <w:r>
        <w:commentReference w:id="3"/>
      </w:r>
      <w:r>
        <w:rPr>
          <w:rFonts w:ascii="Times New Roman" w:hAnsi="Times New Roman"/>
        </w:rPr>
        <w:t xml:space="preserve">”. </w:t>
      </w:r>
      <w:r w:rsidRPr="009800E7">
        <w:t>If the key point of the paper is exploring heterogeneity, is this what you want to take up room in abstract with? Maybe diving into heterogeneity is what matters. These other results are known.</w:t>
      </w:r>
    </w:p>
    <w:bookmarkEnd w:id="2"/>
    <w:p w14:paraId="32F0EC6B" w14:textId="2E8B839B" w:rsidR="009800E7" w:rsidRDefault="009800E7">
      <w:pPr>
        <w:pStyle w:val="Body"/>
        <w:widowControl w:val="0"/>
        <w:spacing w:after="0" w:line="260" w:lineRule="exact"/>
        <w:jc w:val="both"/>
        <w:rPr>
          <w:rFonts w:ascii="Times New Roman" w:eastAsia="Times New Roman" w:hAnsi="Times New Roman" w:cs="Times New Roman"/>
        </w:rPr>
      </w:pPr>
    </w:p>
    <w:p w14:paraId="335F3C63" w14:textId="77777777" w:rsidR="00BC2A6D" w:rsidRDefault="00BC2A6D">
      <w:pPr>
        <w:pStyle w:val="Body"/>
        <w:widowControl w:val="0"/>
        <w:spacing w:after="0" w:line="260" w:lineRule="exact"/>
        <w:jc w:val="both"/>
        <w:rPr>
          <w:rFonts w:ascii="Times New Roman" w:eastAsia="Times New Roman" w:hAnsi="Times New Roman" w:cs="Times New Roman"/>
        </w:rPr>
      </w:pPr>
    </w:p>
    <w:p w14:paraId="679C6DB7" w14:textId="77777777" w:rsidR="00BC2A6D" w:rsidRDefault="00000000">
      <w:pPr>
        <w:pStyle w:val="ListParagraph"/>
        <w:widowControl w:val="0"/>
        <w:numPr>
          <w:ilvl w:val="0"/>
          <w:numId w:val="4"/>
        </w:numPr>
        <w:spacing w:after="0" w:line="260" w:lineRule="exact"/>
        <w:jc w:val="both"/>
        <w:rPr>
          <w:rFonts w:ascii="Times New Roman" w:hAnsi="Times New Roman"/>
          <w:b/>
          <w:bCs/>
        </w:rPr>
      </w:pPr>
      <w:r>
        <w:rPr>
          <w:rFonts w:ascii="Times New Roman" w:hAnsi="Times New Roman"/>
          <w:b/>
          <w:bCs/>
        </w:rPr>
        <w:t>Introduction</w:t>
      </w:r>
    </w:p>
    <w:p w14:paraId="7729F7D1" w14:textId="77777777" w:rsidR="00BC2A6D" w:rsidRDefault="00BC2A6D">
      <w:pPr>
        <w:pStyle w:val="Body"/>
        <w:widowControl w:val="0"/>
        <w:spacing w:after="0" w:line="260" w:lineRule="exact"/>
        <w:jc w:val="both"/>
        <w:rPr>
          <w:rFonts w:ascii="Times New Roman" w:eastAsia="Times New Roman" w:hAnsi="Times New Roman" w:cs="Times New Roman"/>
        </w:rPr>
      </w:pPr>
    </w:p>
    <w:p w14:paraId="58E47E67" w14:textId="77777777" w:rsidR="00B279F2" w:rsidRDefault="00B279F2">
      <w:pPr>
        <w:pStyle w:val="Body"/>
        <w:widowControl w:val="0"/>
        <w:spacing w:after="0" w:line="260" w:lineRule="exact"/>
        <w:jc w:val="both"/>
        <w:rPr>
          <w:rFonts w:ascii="Times New Roman" w:eastAsia="Times New Roman" w:hAnsi="Times New Roman" w:cs="Times New Roman"/>
        </w:rPr>
      </w:pPr>
    </w:p>
    <w:p w14:paraId="6065802B" w14:textId="3CB8E77C" w:rsidR="00B279F2" w:rsidRDefault="00000000">
      <w:pPr>
        <w:pStyle w:val="Body"/>
        <w:widowControl w:val="0"/>
        <w:spacing w:after="0" w:line="260" w:lineRule="exact"/>
        <w:jc w:val="both"/>
        <w:rPr>
          <w:rFonts w:ascii="Times New Roman" w:hAnsi="Times New Roman"/>
        </w:rPr>
      </w:pPr>
      <w:r>
        <w:rPr>
          <w:rFonts w:ascii="Times New Roman" w:hAnsi="Times New Roman"/>
        </w:rPr>
        <w:t xml:space="preserve">More than 70% of the Earth's land, originally covered by forests and natural ecosystems, has been converted for human use, with agriculture alone accounting for approximately 40% of the global land area </w:t>
      </w:r>
      <w:r>
        <w:rPr>
          <w:rFonts w:ascii="Times New Roman" w:hAnsi="Times New Roman"/>
          <w:vertAlign w:val="superscript"/>
        </w:rPr>
        <w:t>1</w:t>
      </w:r>
      <w:r>
        <w:rPr>
          <w:rFonts w:ascii="Times New Roman" w:hAnsi="Times New Roman"/>
        </w:rPr>
        <w:t xml:space="preserve">. </w:t>
      </w:r>
      <w:r w:rsidR="00A667A6" w:rsidRPr="00A667A6">
        <w:rPr>
          <w:rFonts w:ascii="Times New Roman" w:hAnsi="Times New Roman"/>
        </w:rPr>
        <w:t>However, feeding the world has come with a heavy toll on the planet’s soils</w:t>
      </w:r>
      <w:r w:rsidR="00A667A6">
        <w:rPr>
          <w:rFonts w:ascii="Times New Roman" w:hAnsi="Times New Roman"/>
        </w:rPr>
        <w:t xml:space="preserve"> with </w:t>
      </w:r>
      <w:r w:rsidR="00A667A6" w:rsidRPr="00A667A6">
        <w:rPr>
          <w:rFonts w:ascii="Times New Roman" w:hAnsi="Times New Roman"/>
        </w:rPr>
        <w:t>nearly one-third of agricultural land now shows moderate to severe degradation, threatening long-term food security (IPBES, 2018; FAO, 2021).</w:t>
      </w:r>
      <w:r>
        <w:rPr>
          <w:rFonts w:ascii="Times New Roman" w:hAnsi="Times New Roman"/>
        </w:rPr>
        <w:t>Meanwhile, it is projected that food production would have to increase in the future to satisfy both the need of the global growing population and the increase in per capita demand</w:t>
      </w:r>
      <w:r>
        <w:rPr>
          <w:rFonts w:ascii="Times New Roman" w:hAnsi="Times New Roman"/>
          <w:vertAlign w:val="superscript"/>
        </w:rPr>
        <w:t>4</w:t>
      </w:r>
      <w:r>
        <w:rPr>
          <w:rFonts w:ascii="Times New Roman" w:hAnsi="Times New Roman"/>
        </w:rPr>
        <w:t xml:space="preserve">. In this context, sustainable pathways that would contribute to land restoration, biodiversity protection and GHG mitigation are more and more emphasized. </w:t>
      </w:r>
    </w:p>
    <w:p w14:paraId="63B3B094" w14:textId="77777777" w:rsidR="00BC2A6D" w:rsidRDefault="00BC2A6D">
      <w:pPr>
        <w:pStyle w:val="Body"/>
        <w:widowControl w:val="0"/>
        <w:spacing w:after="0" w:line="260" w:lineRule="exact"/>
        <w:jc w:val="both"/>
        <w:rPr>
          <w:rFonts w:ascii="Times New Roman" w:eastAsia="Times New Roman" w:hAnsi="Times New Roman" w:cs="Times New Roman"/>
        </w:rPr>
      </w:pPr>
    </w:p>
    <w:p w14:paraId="7F89FA60" w14:textId="55907B31" w:rsidR="00BC2A6D" w:rsidRDefault="00000000">
      <w:pPr>
        <w:pStyle w:val="Body"/>
        <w:widowControl w:val="0"/>
        <w:spacing w:after="0" w:line="260" w:lineRule="exact"/>
        <w:jc w:val="both"/>
        <w:rPr>
          <w:rFonts w:ascii="Times New Roman" w:hAnsi="Times New Roman"/>
        </w:rPr>
      </w:pPr>
      <w:bookmarkStart w:id="4" w:name="_Hlk211863227"/>
      <w:r>
        <w:rPr>
          <w:rFonts w:ascii="Times New Roman" w:hAnsi="Times New Roman"/>
        </w:rPr>
        <w:t xml:space="preserve">Regenerative agriculture has emerged as a collection of alternative farming strategies seeking to achieve global food security by reducing the use of external inputs, improving soil health and minimize environmental </w:t>
      </w:r>
      <w:bookmarkEnd w:id="4"/>
      <w:r>
        <w:rPr>
          <w:rFonts w:ascii="Times New Roman" w:hAnsi="Times New Roman"/>
        </w:rPr>
        <w:t>damage</w:t>
      </w:r>
      <w:r>
        <w:rPr>
          <w:rFonts w:ascii="Times New Roman" w:hAnsi="Times New Roman"/>
          <w:vertAlign w:val="superscript"/>
          <w:lang w:val="ru-RU"/>
        </w:rPr>
        <w:t>5-7</w:t>
      </w:r>
      <w:r>
        <w:rPr>
          <w:rFonts w:ascii="Times New Roman" w:hAnsi="Times New Roman"/>
        </w:rPr>
        <w:t>. Although there is no clear consensus about its definition, most concepts center on rebuilding soil quality as a foundation for sustainable production</w:t>
      </w:r>
      <w:r>
        <w:rPr>
          <w:rFonts w:ascii="Times New Roman" w:hAnsi="Times New Roman"/>
          <w:vertAlign w:val="superscript"/>
        </w:rPr>
        <w:t>8</w:t>
      </w:r>
      <w:r>
        <w:rPr>
          <w:rFonts w:ascii="Times New Roman" w:hAnsi="Times New Roman"/>
        </w:rPr>
        <w:t>. In this context, regenerative agriculture encompasses a range of regenerative farming practices (RFPs)  including reduced or no tillage (NT), cover crops (CC), perennials and agroforestry (AF), and organic farming (OF)</w:t>
      </w:r>
      <w:r>
        <w:rPr>
          <w:rFonts w:ascii="Times New Roman" w:hAnsi="Times New Roman"/>
          <w:vertAlign w:val="superscript"/>
        </w:rPr>
        <w:t>6,9</w:t>
      </w:r>
      <w:r>
        <w:rPr>
          <w:rFonts w:ascii="Times New Roman" w:hAnsi="Times New Roman"/>
        </w:rPr>
        <w:t>.  Existing studies report potential beneﬁts of different RFPs for increasing soil organic carbon (SOC) and soil water uptake as well as GHG mitigation</w:t>
      </w:r>
      <w:r>
        <w:rPr>
          <w:rFonts w:ascii="Times New Roman" w:hAnsi="Times New Roman"/>
          <w:vertAlign w:val="superscript"/>
        </w:rPr>
        <w:t>6,9,10</w:t>
      </w:r>
      <w:r>
        <w:rPr>
          <w:rFonts w:ascii="Times New Roman" w:hAnsi="Times New Roman"/>
        </w:rPr>
        <w:t xml:space="preserve">. Thus, although environmental benefits can be considerable, yield outcomes through the implementation of different RFPs are subject to many controverses. </w:t>
      </w:r>
    </w:p>
    <w:p w14:paraId="3BFD3F8A" w14:textId="77777777" w:rsidR="0066201F" w:rsidRDefault="0066201F">
      <w:pPr>
        <w:pStyle w:val="Body"/>
        <w:widowControl w:val="0"/>
        <w:spacing w:after="0" w:line="260" w:lineRule="exact"/>
        <w:jc w:val="both"/>
        <w:rPr>
          <w:rFonts w:ascii="Times New Roman" w:hAnsi="Times New Roman"/>
        </w:rPr>
      </w:pPr>
    </w:p>
    <w:p w14:paraId="6B572231" w14:textId="77777777" w:rsidR="00BC2A6D" w:rsidRDefault="00BC2A6D">
      <w:pPr>
        <w:pStyle w:val="Body"/>
        <w:widowControl w:val="0"/>
        <w:spacing w:after="0" w:line="260" w:lineRule="exact"/>
        <w:jc w:val="both"/>
        <w:rPr>
          <w:rFonts w:ascii="Times New Roman" w:eastAsia="Times New Roman" w:hAnsi="Times New Roman" w:cs="Times New Roman"/>
        </w:rPr>
      </w:pPr>
    </w:p>
    <w:p w14:paraId="08C7B29B" w14:textId="22D2DA59" w:rsidR="00BC2A6D" w:rsidRDefault="00000000">
      <w:pPr>
        <w:pStyle w:val="Body"/>
        <w:widowControl w:val="0"/>
        <w:spacing w:after="0" w:line="260" w:lineRule="exact"/>
        <w:jc w:val="both"/>
        <w:rPr>
          <w:rFonts w:ascii="Times New Roman" w:eastAsia="Times New Roman" w:hAnsi="Times New Roman" w:cs="Times New Roman"/>
        </w:rPr>
      </w:pPr>
      <w:r>
        <w:rPr>
          <w:rFonts w:ascii="Times New Roman" w:hAnsi="Times New Roman"/>
        </w:rPr>
        <w:t>Yield outcomes under different RFPs have indeed shown mixed results. Some existing studies have shown that implementation of RFPs could potentially result in increasing yields</w:t>
      </w:r>
      <w:r>
        <w:rPr>
          <w:rFonts w:ascii="Times New Roman" w:hAnsi="Times New Roman"/>
          <w:vertAlign w:val="superscript"/>
        </w:rPr>
        <w:t>11,12</w:t>
      </w:r>
      <w:r>
        <w:rPr>
          <w:rFonts w:ascii="Times New Roman" w:hAnsi="Times New Roman"/>
        </w:rPr>
        <w:t xml:space="preserve"> while others reported neutral or declining trends</w:t>
      </w:r>
      <w:r>
        <w:rPr>
          <w:rFonts w:ascii="Times New Roman" w:hAnsi="Times New Roman"/>
          <w:vertAlign w:val="superscript"/>
        </w:rPr>
        <w:t>13,14</w:t>
      </w:r>
      <w:r>
        <w:rPr>
          <w:rFonts w:ascii="Times New Roman" w:hAnsi="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&gt;&lt;Author&gt;Pittelkow&lt;/Author&gt;&lt;Year&gt;2015&lt;/Year&gt;&lt;RecNum&gt;33&lt;/RecNum&gt;&lt;Prefix&gt;&lt;/Prefix&gt;&lt;Suffix&gt;&lt;/Suffix&gt;&lt;Pages&gt;&lt;/Pages&gt;&lt;DisplayText&gt;Pittelkow, et al. 15&lt;/DisplayText&gt;&lt;record&gt;&lt;rec-number&gt;33&lt;/rec-number&gt;&lt;foreign-keys&gt;&lt;key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record&gt;&lt;/Cite&gt;&lt;/EndNote&gt;</w:instrText>
      </w:r>
      <w:r>
        <w:rPr>
          <w:rFonts w:ascii="Times New Roman" w:eastAsia="Times New Roman" w:hAnsi="Times New Roman" w:cs="Times New Roman"/>
        </w:rPr>
        <w:fldChar w:fldCharType="separate"/>
      </w:r>
      <w:r>
        <w:rPr>
          <w:rFonts w:ascii="Times New Roman" w:hAnsi="Times New Roman"/>
          <w:lang w:val="da-DK"/>
        </w:rPr>
        <w:t>Pittelkow, et al. 15</w:t>
      </w:r>
      <w:r>
        <w:rPr>
          <w:rFonts w:ascii="Times New Roman" w:eastAsia="Times New Roman" w:hAnsi="Times New Roman" w:cs="Times New Roman"/>
        </w:rPr>
        <w:fldChar w:fldCharType="end"/>
      </w:r>
      <w:r>
        <w:rPr>
          <w:rFonts w:ascii="Times New Roman" w:hAnsi="Times New Roman"/>
        </w:rPr>
        <w:t xml:space="preserve"> showed that the impacts of NT on yields are context-dependent. Yields increased in moisture-limited arid regions but declined in tropical regions with maize-based systems. A global meta-analysis based on 740 paired measurements from 90 peer-reviewed articles show that NT increased barley yield by 49% especially in dry climate</w:t>
      </w:r>
      <w:r>
        <w:rPr>
          <w:rFonts w:ascii="Times New Roman" w:hAnsi="Times New Roman"/>
          <w:vertAlign w:val="superscript"/>
        </w:rPr>
        <w:t>16</w:t>
      </w:r>
      <w:r>
        <w:rPr>
          <w:rFonts w:ascii="Times New Roman" w:hAnsi="Times New Roman"/>
        </w:rPr>
        <w:t>. In a drought period, about 60% higher maize yields were observed under NT management compared to CT</w:t>
      </w:r>
      <w:r>
        <w:rPr>
          <w:rFonts w:ascii="Times New Roman" w:hAnsi="Times New Roman"/>
          <w:vertAlign w:val="superscript"/>
        </w:rPr>
        <w:t>17</w:t>
      </w:r>
      <w:r>
        <w:rPr>
          <w:rFonts w:ascii="Times New Roman" w:hAnsi="Times New Roman"/>
        </w:rPr>
        <w:t>. However, contrary trends are also reported with the application of crop rotation, residue management, and no-tillage having no effect on yield stability relative to CT</w:t>
      </w:r>
      <w:r>
        <w:rPr>
          <w:rFonts w:ascii="Times New Roman" w:hAnsi="Times New Roman"/>
          <w:vertAlign w:val="superscript"/>
        </w:rPr>
        <w:t>18</w:t>
      </w:r>
      <w:r>
        <w:rPr>
          <w:rFonts w:ascii="Times New Roman" w:hAnsi="Times New Roman"/>
        </w:rPr>
        <w:t xml:space="preserve">. The same study showed that OF had 15% lower yield compared to CT. </w:t>
      </w:r>
    </w:p>
    <w:p w14:paraId="701BA113" w14:textId="77777777" w:rsidR="00BC2A6D" w:rsidRDefault="00BC2A6D">
      <w:pPr>
        <w:pStyle w:val="Body"/>
        <w:widowControl w:val="0"/>
        <w:spacing w:after="0" w:line="260" w:lineRule="exact"/>
        <w:jc w:val="both"/>
        <w:rPr>
          <w:rFonts w:ascii="Times New Roman" w:eastAsia="Times New Roman" w:hAnsi="Times New Roman" w:cs="Times New Roman"/>
        </w:rPr>
      </w:pPr>
    </w:p>
    <w:p w14:paraId="6EFF3BA7" w14:textId="77777777" w:rsidR="00BC2A6D" w:rsidRDefault="00000000">
      <w:pPr>
        <w:pStyle w:val="Body"/>
        <w:jc w:val="both"/>
        <w:rPr>
          <w:rFonts w:ascii="Times New Roman" w:eastAsia="Times New Roman" w:hAnsi="Times New Roman" w:cs="Times New Roman"/>
        </w:rPr>
      </w:pPr>
      <w:r>
        <w:rPr>
          <w:rFonts w:ascii="Times New Roman" w:hAnsi="Times New Roman"/>
        </w:rPr>
        <w:t xml:space="preserve">A similar pattern of context-dependent results is seen with other RFPs like AF and CC. Under AF management, findings show that crop yields either increased by </w:t>
      </w:r>
      <w:bookmarkStart w:id="5" w:name="_Hlk167883623"/>
      <w:r>
        <w:rPr>
          <w:rFonts w:ascii="Times New Roman" w:hAnsi="Times New Roman"/>
          <w:lang w:val="ru-RU"/>
        </w:rPr>
        <w:t xml:space="preserve">7 </w:t>
      </w:r>
      <w:r>
        <w:rPr>
          <w:rFonts w:ascii="Times New Roman" w:hAnsi="Times New Roman"/>
        </w:rPr>
        <w:t>– 16%, especially in subtropical and tropical zones</w:t>
      </w:r>
      <w:r>
        <w:rPr>
          <w:rFonts w:ascii="Times New Roman" w:hAnsi="Times New Roman"/>
          <w:vertAlign w:val="superscript"/>
        </w:rPr>
        <w:t>19</w:t>
      </w:r>
      <w:r>
        <w:rPr>
          <w:rFonts w:ascii="Times New Roman" w:hAnsi="Times New Roman"/>
        </w:rPr>
        <w:t xml:space="preserve">, </w:t>
      </w:r>
      <w:bookmarkEnd w:id="5"/>
      <w:r>
        <w:rPr>
          <w:rFonts w:ascii="Times New Roman" w:hAnsi="Times New Roman"/>
        </w:rPr>
        <w:t>or reduced by 2.6% in European areas depending on the density and age of the trees</w:t>
      </w:r>
      <w:r>
        <w:rPr>
          <w:rFonts w:ascii="Times New Roman" w:hAnsi="Times New Roman"/>
          <w:vertAlign w:val="superscript"/>
        </w:rPr>
        <w:t>20</w:t>
      </w:r>
      <w:r>
        <w:rPr>
          <w:rFonts w:ascii="Times New Roman" w:hAnsi="Times New Roman"/>
        </w:rPr>
        <w:t>. While about 14% yield increase is reported under CC especially in coarse soil texture and dryland areas along with the use of leguminous cover crops</w:t>
      </w:r>
      <w:r>
        <w:rPr>
          <w:rFonts w:ascii="Times New Roman" w:hAnsi="Times New Roman"/>
          <w:vertAlign w:val="superscript"/>
        </w:rPr>
        <w:t>21</w:t>
      </w:r>
      <w:r>
        <w:rPr>
          <w:rFonts w:ascii="Times New Roman" w:hAnsi="Times New Roman"/>
        </w:rPr>
        <w:t>, about 3% yield reductions were observed especially for cash crops in temperate soils</w:t>
      </w:r>
      <w:r>
        <w:rPr>
          <w:rFonts w:ascii="Times New Roman" w:hAnsi="Times New Roman"/>
          <w:vertAlign w:val="superscript"/>
        </w:rPr>
        <w:t>22,23</w:t>
      </w:r>
      <w:r>
        <w:rPr>
          <w:rFonts w:ascii="Times New Roman" w:hAnsi="Times New Roman"/>
        </w:rPr>
        <w:t>.  About 10% decrease in wheat yields were observed following cover cropping</w:t>
      </w:r>
      <w:r>
        <w:rPr>
          <w:rFonts w:ascii="Times New Roman" w:hAnsi="Times New Roman"/>
          <w:vertAlign w:val="superscript"/>
        </w:rPr>
        <w:t>24</w:t>
      </w:r>
      <w:r>
        <w:rPr>
          <w:rFonts w:ascii="Times New Roman" w:hAnsi="Times New Roman"/>
        </w:rPr>
        <w:t>. In context whereby there is no significant increase or decrease, some studies reported that yields could be sustained for longtime under RFPs especially for degraded soils</w:t>
      </w:r>
      <w:r>
        <w:rPr>
          <w:rFonts w:ascii="Times New Roman" w:hAnsi="Times New Roman"/>
          <w:vertAlign w:val="superscript"/>
        </w:rPr>
        <w:t>25</w:t>
      </w:r>
      <w:r>
        <w:rPr>
          <w:rFonts w:ascii="Times New Roman" w:hAnsi="Times New Roman"/>
        </w:rPr>
        <w:t xml:space="preserve">. The discrepancy of yield outcomes under different RFPs have thus shown that various factors interplay to determine the magnitude and direction of crop yields for farmers. </w:t>
      </w:r>
    </w:p>
    <w:p w14:paraId="50A06948" w14:textId="77777777" w:rsidR="00BC2A6D" w:rsidRDefault="00000000">
      <w:pPr>
        <w:pStyle w:val="Body"/>
        <w:jc w:val="both"/>
        <w:rPr>
          <w:rFonts w:ascii="Times New Roman" w:eastAsia="Times New Roman" w:hAnsi="Times New Roman" w:cs="Times New Roman"/>
        </w:rPr>
      </w:pPr>
      <w:r>
        <w:rPr>
          <w:rFonts w:ascii="Times New Roman" w:hAnsi="Times New Roman"/>
        </w:rPr>
        <w:t>Crop yields are influenced by a combination of soil, climate, topography and management practices. For example, soil properties such as pH, organic carbon content, nutrient levels (e.g. nitrogen, phosphorus), texture, and bulk density directly affect a soil water-holding capacity, root growth, and nutrient availability to plants</w:t>
      </w:r>
      <w:r>
        <w:rPr>
          <w:rFonts w:ascii="Times New Roman" w:hAnsi="Times New Roman"/>
          <w:vertAlign w:val="superscript"/>
        </w:rPr>
        <w:t>26-28</w:t>
      </w:r>
      <w:r>
        <w:rPr>
          <w:rFonts w:ascii="Times New Roman" w:hAnsi="Times New Roman"/>
        </w:rPr>
        <w:t>. Healthier soils with ample organic matter can better support high yields by retaining moisture and supplying nutrients</w:t>
      </w:r>
      <w:r>
        <w:rPr>
          <w:rFonts w:ascii="Times New Roman" w:hAnsi="Times New Roman"/>
          <w:vertAlign w:val="superscript"/>
        </w:rPr>
        <w:t>29</w:t>
      </w:r>
      <w:r>
        <w:rPr>
          <w:rFonts w:ascii="Times New Roman" w:hAnsi="Times New Roman"/>
        </w:rPr>
        <w:t>. Temperature and precipitation regimes play a decisive role in crop productivity. Extreme heat and drought stress can dramatically reduce yields, as evidenced by rising temperatures and more frequent droughts already depressing crop production in many regions</w:t>
      </w:r>
      <w:r>
        <w:rPr>
          <w:rFonts w:ascii="Times New Roman" w:hAnsi="Times New Roman"/>
          <w:vertAlign w:val="superscript"/>
        </w:rPr>
        <w:t>30,31</w:t>
      </w:r>
      <w:r>
        <w:rPr>
          <w:rFonts w:ascii="Times New Roman" w:hAnsi="Times New Roman"/>
        </w:rPr>
        <w:t>. Hence, sufficient rainfall or irrigation, and favorable temperatures during the growing season, are critical for realizing potential yields. The landscape position (elevation, slope gradient, etc.) influences erosion rates, drainage, and microclimates within a field. Steep or elevated fields may lose topsoil and water to runoff, whereas lower or flatter areas can accumulate moisture but risk waterlogging</w:t>
      </w:r>
      <w:r>
        <w:rPr>
          <w:rFonts w:ascii="Times New Roman" w:hAnsi="Times New Roman"/>
          <w:vertAlign w:val="superscript"/>
        </w:rPr>
        <w:t>32,33</w:t>
      </w:r>
      <w:r>
        <w:rPr>
          <w:rFonts w:ascii="Times New Roman" w:hAnsi="Times New Roman"/>
        </w:rPr>
        <w:t>. Even small changes in slope or aspect create different microclimatic conditions (such as cooler hollows or warmer south-facing slopes) that can affect crop growth</w:t>
      </w:r>
      <w:r>
        <w:rPr>
          <w:rFonts w:ascii="Times New Roman" w:hAnsi="Times New Roman"/>
          <w:vertAlign w:val="superscript"/>
          <w:lang w:val="ru-RU"/>
        </w:rPr>
        <w:t>34</w:t>
      </w:r>
      <w:r>
        <w:rPr>
          <w:rFonts w:ascii="Times New Roman" w:hAnsi="Times New Roman"/>
        </w:rPr>
        <w:t xml:space="preserve">. </w:t>
      </w:r>
    </w:p>
    <w:p w14:paraId="34F3D37C" w14:textId="77777777" w:rsidR="00BC2A6D" w:rsidRDefault="00000000">
      <w:pPr>
        <w:pStyle w:val="Body"/>
        <w:jc w:val="both"/>
        <w:rPr>
          <w:rFonts w:ascii="Times New Roman" w:eastAsia="Times New Roman" w:hAnsi="Times New Roman" w:cs="Times New Roman"/>
        </w:rPr>
      </w:pPr>
      <w:r>
        <w:rPr>
          <w:rFonts w:ascii="Times New Roman" w:hAnsi="Times New Roman"/>
        </w:rPr>
        <w:lastRenderedPageBreak/>
        <w:t xml:space="preserve">Integrating these environmental factors is crucial for developing tailored, sustainable agricultural systems that optimize crop productivity and environmental benefits. However, field experiments and even many meta-analyses often do not report detailed soil metrics – such as bulk density, soil organic carbon, nutrient availability (e.g. phosphorus levels), pH, texture – nor do they fully capture site characteristics like elevation and slope or climate indices like growing degree-days and seasonal moisture levels. Additionally, previous global comparisons of sustainable farming techniques have usually examined one practice at a time (e.g. only no-tillage vs. conventional, or only chemical vs. organic inputs) </w:t>
      </w:r>
      <w:r>
        <w:rPr>
          <w:rFonts w:ascii="Times New Roman" w:hAnsi="Times New Roman"/>
          <w:vertAlign w:val="superscript"/>
        </w:rPr>
        <w:t>12,35-37</w:t>
      </w:r>
      <w:r>
        <w:rPr>
          <w:rFonts w:ascii="Times New Roman" w:hAnsi="Times New Roman"/>
        </w:rPr>
        <w:t xml:space="preserve"> . Such studies rarely attempt to compare the relative effectiveness of multiple regenerative practices across different environments and crop types simultaneously. This fragmentary approach leaves a significant knowledge gap in relation to how and why yield responses to different RFPs vary under diverse soil and climate conditions. There remains therefore a clear need for a broader understanding of how environmental factors influence crop yield responses under different RFPs.</w:t>
      </w:r>
    </w:p>
    <w:p w14:paraId="09051E35" w14:textId="0706634C" w:rsidR="00BC2A6D" w:rsidRDefault="00000000">
      <w:pPr>
        <w:pStyle w:val="Body"/>
        <w:jc w:val="both"/>
        <w:rPr>
          <w:rFonts w:ascii="Times New Roman" w:eastAsia="Times New Roman" w:hAnsi="Times New Roman" w:cs="Times New Roman"/>
        </w:rPr>
      </w:pPr>
      <w:r>
        <w:rPr>
          <w:rFonts w:ascii="Times New Roman" w:hAnsi="Times New Roman"/>
        </w:rPr>
        <w:t xml:space="preserve">To overcome these knowledge gaps, recent advances in </w:t>
      </w:r>
      <w:commentRangeStart w:id="6"/>
      <w:r>
        <w:rPr>
          <w:rFonts w:ascii="Times New Roman" w:hAnsi="Times New Roman"/>
        </w:rPr>
        <w:t>remote sensing, geospatial modeling, and digital soil mapping now make it possible to fill in many of these data gaps</w:t>
      </w:r>
      <w:commentRangeEnd w:id="6"/>
      <w:r>
        <w:commentReference w:id="6"/>
      </w:r>
      <w:r>
        <w:rPr>
          <w:rFonts w:ascii="Times New Roman" w:hAnsi="Times New Roman"/>
        </w:rPr>
        <w:t>. Global earth datasets can provide information on climate, soil properties and topography</w:t>
      </w:r>
      <w:commentRangeStart w:id="7"/>
      <w:r>
        <w:rPr>
          <w:rFonts w:ascii="Times New Roman" w:hAnsi="Times New Roman"/>
        </w:rPr>
        <w:t>.</w:t>
      </w:r>
      <w:commentRangeEnd w:id="7"/>
      <w:r>
        <w:commentReference w:id="7"/>
      </w:r>
      <w:r>
        <w:rPr>
          <w:rFonts w:ascii="Times New Roman" w:hAnsi="Times New Roman"/>
        </w:rPr>
        <w:t xml:space="preserve"> For example, climate indicators can be sourced from different platforms at a global scale (e.g. CHELSA</w:t>
      </w:r>
      <w:r>
        <w:rPr>
          <w:rFonts w:ascii="Times New Roman" w:hAnsi="Times New Roman"/>
          <w:vertAlign w:val="superscript"/>
        </w:rPr>
        <w:t>38</w:t>
      </w:r>
      <w:r>
        <w:rPr>
          <w:rFonts w:ascii="Times New Roman" w:hAnsi="Times New Roman"/>
          <w:lang w:val="de-DE"/>
        </w:rPr>
        <w:t>, CHIRPS</w:t>
      </w:r>
      <w:r>
        <w:rPr>
          <w:rFonts w:ascii="Times New Roman" w:hAnsi="Times New Roman"/>
          <w:vertAlign w:val="superscript"/>
        </w:rPr>
        <w:t>39</w:t>
      </w:r>
      <w:r>
        <w:rPr>
          <w:rFonts w:ascii="Times New Roman" w:hAnsi="Times New Roman"/>
        </w:rPr>
        <w:t>, aridity index</w:t>
      </w:r>
      <w:r>
        <w:rPr>
          <w:rFonts w:ascii="Times New Roman" w:hAnsi="Times New Roman"/>
          <w:vertAlign w:val="superscript"/>
        </w:rPr>
        <w:t>40</w:t>
      </w:r>
      <w:r>
        <w:rPr>
          <w:rFonts w:ascii="Times New Roman" w:hAnsi="Times New Roman"/>
        </w:rPr>
        <w:t xml:space="preserve"> etc.). For soil properties, the </w:t>
      </w:r>
      <w:proofErr w:type="spellStart"/>
      <w:r>
        <w:rPr>
          <w:rFonts w:ascii="Times New Roman" w:hAnsi="Times New Roman"/>
        </w:rPr>
        <w:t>SoilGrids</w:t>
      </w:r>
      <w:proofErr w:type="spellEnd"/>
      <w:r>
        <w:rPr>
          <w:rFonts w:ascii="Times New Roman" w:hAnsi="Times New Roman"/>
        </w:rPr>
        <w:t xml:space="preserve"> database offers gridded global maps of soil attributes (like organic carbon content, texture, pH, etc.) at multiple depths, derived from thousands of soil profiles and environmental covariates</w:t>
      </w:r>
      <w:r>
        <w:rPr>
          <w:rFonts w:ascii="Times New Roman" w:hAnsi="Times New Roman"/>
          <w:vertAlign w:val="superscript"/>
        </w:rPr>
        <w:t>41</w:t>
      </w:r>
      <w:r>
        <w:rPr>
          <w:rFonts w:ascii="Times New Roman" w:hAnsi="Times New Roman"/>
        </w:rPr>
        <w:t>. Meanwhile, the SRTM digital elevation model (at ~30 m resolution) and similar terrain datasets capture variations in elevation and slope. Consequently, all these data provide information on environmental conditions and variables related to soil properties, climate, topography etc. which in turn are potential factors affecting crop yields</w:t>
      </w:r>
      <w:r>
        <w:rPr>
          <w:rFonts w:ascii="Times New Roman" w:hAnsi="Times New Roman"/>
          <w:vertAlign w:val="superscript"/>
        </w:rPr>
        <w:t>42-44</w:t>
      </w:r>
      <w:r>
        <w:rPr>
          <w:rFonts w:ascii="Times New Roman" w:hAnsi="Times New Roman"/>
        </w:rPr>
        <w:t xml:space="preserve">. By extracting these variables for the locations of field experiments, it is possible to characterize each site’s broad environmental context. Such variables should ideally be recorded in the field to ensure accuracy and </w:t>
      </w:r>
      <w:bookmarkStart w:id="8" w:name="_Hlk211863879"/>
      <w:r>
        <w:rPr>
          <w:rFonts w:ascii="Times New Roman" w:hAnsi="Times New Roman"/>
        </w:rPr>
        <w:t xml:space="preserve">precision mapping to </w:t>
      </w:r>
      <w:proofErr w:type="gramStart"/>
      <w:r>
        <w:rPr>
          <w:rFonts w:ascii="Times New Roman" w:hAnsi="Times New Roman"/>
        </w:rPr>
        <w:t>particular context</w:t>
      </w:r>
      <w:bookmarkEnd w:id="8"/>
      <w:proofErr w:type="gramEnd"/>
      <w:r>
        <w:rPr>
          <w:rFonts w:ascii="Times New Roman" w:hAnsi="Times New Roman"/>
        </w:rPr>
        <w:t xml:space="preserve">. Nevertheless, leveraging global datasets enables large-scale assessments of factors associated with crop yields, allowing us to </w:t>
      </w:r>
      <w:bookmarkStart w:id="9" w:name="_Hlk211863973"/>
      <w:r>
        <w:rPr>
          <w:rFonts w:ascii="Times New Roman" w:hAnsi="Times New Roman"/>
        </w:rPr>
        <w:t>assess broader patterns in leu of data gaps.</w:t>
      </w:r>
      <w:bookmarkEnd w:id="9"/>
      <w:r>
        <w:rPr>
          <w:rFonts w:ascii="Times New Roman" w:eastAsia="Times New Roman" w:hAnsi="Times New Roman" w:cs="Times New Roman"/>
        </w:rPr>
        <w:br/>
      </w:r>
      <w:commentRangeStart w:id="10"/>
    </w:p>
    <w:p w14:paraId="246488C9" w14:textId="5CC2AC71" w:rsidR="00BC2A6D" w:rsidRDefault="00000000">
      <w:pPr>
        <w:pStyle w:val="Body"/>
        <w:jc w:val="both"/>
        <w:rPr>
          <w:rFonts w:ascii="Times New Roman" w:eastAsia="Times New Roman" w:hAnsi="Times New Roman" w:cs="Times New Roman"/>
        </w:rPr>
      </w:pPr>
      <w:bookmarkStart w:id="11" w:name="_Hlk211864141"/>
      <w:r>
        <w:rPr>
          <w:rFonts w:ascii="Times New Roman" w:hAnsi="Times New Roman"/>
        </w:rPr>
        <w:t xml:space="preserve">In our study, we leverage this approach, combining field trial data with collated global environmental data to evaluate the factors associated with yields for multiple </w:t>
      </w:r>
      <w:bookmarkEnd w:id="11"/>
      <w:r>
        <w:rPr>
          <w:rFonts w:ascii="Times New Roman" w:hAnsi="Times New Roman"/>
        </w:rPr>
        <w:t>RFPs side by side. Specifically, we gather results from numerous experiments worldwide that compared these practices (like no-tillage, cover cropping, agroforestry, organic farming) against CT controls, and for each site we overlay information on climate, soil, and topography drawn from global datasets. This approach allows us to assess how yield responses to different RFPs vary across a wide range of climatic zones, soil conditions, and landscape positions. By analyzing many practices and environmental variables together, our study provides a more comprehensive, comparative perspective on RFP outcomes than previous analyses focused on a single practice. We aim to identify which combinations of practice and environment tend to produce positive yield results, and where trade-offs might occur, thereby offering insights into the contexts in which RFPs can best contribute to both food security and sustainability.</w:t>
      </w:r>
      <w:commentRangeEnd w:id="10"/>
      <w:r>
        <w:commentReference w:id="10"/>
      </w:r>
    </w:p>
    <w:p w14:paraId="3FE03CF8" w14:textId="77777777" w:rsidR="00BC2A6D" w:rsidRDefault="00000000">
      <w:pPr>
        <w:pStyle w:val="ListParagraph"/>
        <w:keepNext/>
        <w:keepLines/>
        <w:widowControl w:val="0"/>
        <w:numPr>
          <w:ilvl w:val="0"/>
          <w:numId w:val="4"/>
        </w:numPr>
        <w:spacing w:after="0" w:line="260" w:lineRule="exact"/>
        <w:jc w:val="both"/>
        <w:rPr>
          <w:rFonts w:ascii="Times New Roman" w:hAnsi="Times New Roman"/>
          <w:b/>
          <w:bCs/>
        </w:rPr>
      </w:pPr>
      <w:r>
        <w:rPr>
          <w:rFonts w:ascii="Times New Roman" w:hAnsi="Times New Roman"/>
          <w:b/>
          <w:bCs/>
        </w:rPr>
        <w:t>Materials and methods</w:t>
      </w:r>
    </w:p>
    <w:p w14:paraId="188FC78B" w14:textId="77777777" w:rsidR="00BC2A6D" w:rsidRDefault="00000000">
      <w:pPr>
        <w:pStyle w:val="Body"/>
        <w:jc w:val="both"/>
        <w:rPr>
          <w:rFonts w:ascii="Times New Roman" w:eastAsia="Times New Roman" w:hAnsi="Times New Roman" w:cs="Times New Roman"/>
        </w:rPr>
      </w:pPr>
      <w:r>
        <w:rPr>
          <w:rFonts w:ascii="Times New Roman" w:hAnsi="Times New Roman"/>
        </w:rPr>
        <w:t xml:space="preserve">A global dataset on RFPs was compiled, covering AF, CC, NT, and OF across major crop groups. Each observation was linked with climate, soil, and topographic variables, with additional management information included for no-tillage where available. Yield effects were calculated as log response ratios relative to conventional tillage, and moderator analyses were conducted across environmental categories. Statistical significance was assessed using bootstrapped confidence intervals, while density plots and Jackknife resampling were applied to test for publication bias and robustness. </w:t>
      </w:r>
    </w:p>
    <w:p w14:paraId="5EE6E3FB" w14:textId="77777777" w:rsidR="00BC2A6D" w:rsidRDefault="00BC2A6D">
      <w:pPr>
        <w:pStyle w:val="Body"/>
        <w:widowControl w:val="0"/>
        <w:spacing w:after="0" w:line="260" w:lineRule="exact"/>
        <w:jc w:val="both"/>
        <w:rPr>
          <w:rFonts w:ascii="Times New Roman" w:eastAsia="Times New Roman" w:hAnsi="Times New Roman" w:cs="Times New Roman"/>
        </w:rPr>
      </w:pPr>
    </w:p>
    <w:p w14:paraId="5AC4EEC5" w14:textId="77777777" w:rsidR="00BC2A6D" w:rsidRDefault="00000000">
      <w:pPr>
        <w:pStyle w:val="ListParagraph"/>
        <w:widowControl w:val="0"/>
        <w:numPr>
          <w:ilvl w:val="1"/>
          <w:numId w:val="4"/>
        </w:numPr>
        <w:spacing w:after="0" w:line="260" w:lineRule="exact"/>
        <w:jc w:val="both"/>
        <w:rPr>
          <w:rFonts w:ascii="Times New Roman" w:hAnsi="Times New Roman"/>
          <w:b/>
          <w:bCs/>
        </w:rPr>
      </w:pPr>
      <w:r>
        <w:rPr>
          <w:rFonts w:ascii="Times New Roman" w:hAnsi="Times New Roman"/>
          <w:b/>
          <w:bCs/>
        </w:rPr>
        <w:t xml:space="preserve">Data collection </w:t>
      </w:r>
    </w:p>
    <w:p w14:paraId="5008EC8F" w14:textId="77777777" w:rsidR="00BC2A6D" w:rsidRDefault="00BC2A6D">
      <w:pPr>
        <w:pStyle w:val="Body"/>
        <w:widowControl w:val="0"/>
        <w:spacing w:after="0" w:line="240" w:lineRule="auto"/>
        <w:ind w:right="624"/>
        <w:jc w:val="both"/>
        <w:rPr>
          <w:rFonts w:ascii="Times New Roman" w:eastAsia="Times New Roman" w:hAnsi="Times New Roman" w:cs="Times New Roman"/>
          <w:kern w:val="0"/>
        </w:rPr>
      </w:pPr>
    </w:p>
    <w:p w14:paraId="0168007F" w14:textId="77777777" w:rsidR="00BC2A6D" w:rsidRDefault="00000000">
      <w:pPr>
        <w:pStyle w:val="Body"/>
        <w:widowControl w:val="0"/>
        <w:spacing w:after="0" w:line="240" w:lineRule="auto"/>
        <w:jc w:val="both"/>
        <w:rPr>
          <w:rFonts w:ascii="Times New Roman" w:eastAsia="Times New Roman" w:hAnsi="Times New Roman" w:cs="Times New Roman"/>
        </w:rPr>
      </w:pPr>
      <w:r>
        <w:rPr>
          <w:rFonts w:ascii="Times New Roman" w:hAnsi="Times New Roman"/>
          <w:kern w:val="0"/>
        </w:rPr>
        <w:t xml:space="preserve">We first combined various global meta-analysis data </w:t>
      </w:r>
      <w:r>
        <w:rPr>
          <w:rFonts w:ascii="Times New Roman" w:hAnsi="Times New Roman"/>
        </w:rPr>
        <w:t xml:space="preserve">(Figure 1) </w:t>
      </w:r>
      <w:r>
        <w:rPr>
          <w:rFonts w:ascii="Times New Roman" w:hAnsi="Times New Roman"/>
          <w:kern w:val="0"/>
        </w:rPr>
        <w:t xml:space="preserve">from </w:t>
      </w:r>
      <w:r>
        <w:rPr>
          <w:rFonts w:ascii="Times New Roman" w:hAnsi="Times New Roman"/>
        </w:rPr>
        <w:t>Xu et al.</w:t>
      </w:r>
      <w:r>
        <w:rPr>
          <w:rFonts w:ascii="Times New Roman" w:hAnsi="Times New Roman"/>
          <w:vertAlign w:val="superscript"/>
        </w:rPr>
        <w:t>12</w:t>
      </w:r>
      <w:r w:rsidRPr="009800E7">
        <w:rPr>
          <w:rFonts w:ascii="Times New Roman" w:hAnsi="Times New Roman"/>
        </w:rPr>
        <w:t>, Jian et al.</w:t>
      </w:r>
      <w:r>
        <w:rPr>
          <w:rFonts w:ascii="Times New Roman" w:hAnsi="Times New Roman"/>
          <w:vertAlign w:val="superscript"/>
        </w:rPr>
        <w:t>45</w:t>
      </w:r>
      <w:r w:rsidRPr="009800E7">
        <w:rPr>
          <w:rFonts w:ascii="Times New Roman" w:hAnsi="Times New Roman"/>
        </w:rPr>
        <w:t>, Pittelkow et al.</w:t>
      </w:r>
      <w:r>
        <w:rPr>
          <w:rFonts w:ascii="Times New Roman" w:hAnsi="Times New Roman"/>
          <w:vertAlign w:val="superscript"/>
        </w:rPr>
        <w:t>35</w:t>
      </w:r>
      <w:r w:rsidRPr="009800E7">
        <w:rPr>
          <w:rFonts w:ascii="Times New Roman" w:hAnsi="Times New Roman"/>
        </w:rPr>
        <w:t>, Xia et al.</w:t>
      </w:r>
      <w:r>
        <w:rPr>
          <w:rFonts w:ascii="Times New Roman" w:hAnsi="Times New Roman"/>
          <w:vertAlign w:val="superscript"/>
        </w:rPr>
        <w:t>46</w:t>
      </w:r>
      <w:r w:rsidRPr="009800E7">
        <w:rPr>
          <w:rFonts w:ascii="Times New Roman" w:hAnsi="Times New Roman"/>
        </w:rPr>
        <w:t>, Verret et al.</w:t>
      </w:r>
      <w:r>
        <w:rPr>
          <w:rFonts w:ascii="Times New Roman" w:hAnsi="Times New Roman"/>
          <w:vertAlign w:val="superscript"/>
        </w:rPr>
        <w:t>47</w:t>
      </w:r>
      <w:r>
        <w:rPr>
          <w:rFonts w:ascii="Times New Roman" w:hAnsi="Times New Roman"/>
        </w:rPr>
        <w:t>, Ding et al.</w:t>
      </w:r>
      <w:r>
        <w:rPr>
          <w:rFonts w:ascii="Times New Roman" w:hAnsi="Times New Roman"/>
          <w:vertAlign w:val="superscript"/>
        </w:rPr>
        <w:t>48</w:t>
      </w:r>
      <w:r w:rsidRPr="009800E7">
        <w:rPr>
          <w:rFonts w:ascii="Times New Roman" w:hAnsi="Times New Roman"/>
        </w:rPr>
        <w:t xml:space="preserve"> and Felix et al.</w:t>
      </w:r>
      <w:r>
        <w:rPr>
          <w:rFonts w:ascii="Times New Roman" w:hAnsi="Times New Roman"/>
          <w:vertAlign w:val="superscript"/>
        </w:rPr>
        <w:t>36</w:t>
      </w:r>
      <w:r>
        <w:rPr>
          <w:rFonts w:ascii="Times New Roman" w:hAnsi="Times New Roman"/>
        </w:rPr>
        <w:t xml:space="preserve"> </w:t>
      </w:r>
      <w:r>
        <w:rPr>
          <w:rFonts w:ascii="Times New Roman" w:hAnsi="Times New Roman"/>
          <w:kern w:val="0"/>
        </w:rPr>
        <w:t xml:space="preserve">to create a comprehensive dataset of field scale studies. </w:t>
      </w:r>
      <w:r>
        <w:rPr>
          <w:rFonts w:ascii="Times New Roman" w:hAnsi="Times New Roman"/>
        </w:rPr>
        <w:t xml:space="preserve">This resulted in a total of 10 002 comparisons between RFPs and CT (i.e. conventional tillage) from a total of 906 publications. 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supplementary material). The compiled data cover the following RFPs: Agroforestry (AF), Cover Crop (CC), No-tillage (NT), organic farming (OF).  In line with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&gt;&lt;Author&gt;Jian&lt;/Author&gt;&lt;Year&gt;2020&lt;/Year&gt;&lt;RecNum&gt;15&lt;/RecNum&gt;&lt;Prefix&gt;&lt;/Prefix&gt;&lt;Suffix&gt;&lt;/Suffix&gt;&lt;Pages&gt;&lt;/Pages&gt;&lt;DisplayText&gt;Jian, et al. 45&lt;/DisplayText&gt;&lt;record&gt;&lt;rec-number&gt;15&lt;/rec-number&gt;&lt;foreign-keys&gt;&lt;key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Data&lt;/full-title&gt;&lt;/periodical&gt;&lt;pages&gt;16&lt;/pages&gt;&lt;volume&gt;7&lt;/volume&gt;&lt;number&gt;1&lt;/number&gt;&lt;dates&gt;&lt;year&gt;2020&lt;/year&gt;&lt;/dates&gt;&lt;isbn&gt;2052-4463&lt;/isbn&gt;&lt;urls/&gt;&lt;/record&gt;&lt;/Cite&gt;&lt;/EndNote&gt;</w:instrText>
      </w:r>
      <w:r>
        <w:rPr>
          <w:rFonts w:ascii="Times New Roman" w:eastAsia="Times New Roman" w:hAnsi="Times New Roman" w:cs="Times New Roman"/>
        </w:rPr>
        <w:fldChar w:fldCharType="separate"/>
      </w:r>
      <w:r>
        <w:rPr>
          <w:rFonts w:ascii="Times New Roman" w:hAnsi="Times New Roman"/>
        </w:rPr>
        <w:t>Jian, et al. 45</w:t>
      </w:r>
      <w:r>
        <w:rPr>
          <w:rFonts w:ascii="Times New Roman" w:eastAsia="Times New Roman" w:hAnsi="Times New Roman" w:cs="Times New Roman"/>
        </w:rPr>
        <w:fldChar w:fldCharType="end"/>
      </w:r>
      <w:r>
        <w:rPr>
          <w:rFonts w:ascii="Times New Roman" w:hAnsi="Times New Roman"/>
        </w:rPr>
        <w:t xml:space="preserve">, we define the four RFPs as follows: </w:t>
      </w:r>
    </w:p>
    <w:p w14:paraId="0DE7B3C0" w14:textId="77777777" w:rsidR="00BC2A6D" w:rsidRDefault="00000000">
      <w:pPr>
        <w:pStyle w:val="ListParagraph"/>
        <w:widowControl w:val="0"/>
        <w:numPr>
          <w:ilvl w:val="0"/>
          <w:numId w:val="6"/>
        </w:numPr>
        <w:spacing w:after="0" w:line="240" w:lineRule="auto"/>
        <w:jc w:val="both"/>
        <w:rPr>
          <w:rFonts w:ascii="Times New Roman" w:hAnsi="Times New Roman"/>
        </w:rPr>
      </w:pPr>
      <w:r>
        <w:rPr>
          <w:rFonts w:ascii="Times New Roman" w:hAnsi="Times New Roman"/>
        </w:rPr>
        <w:t xml:space="preserve">Agroforestry (AF): trees or shrubs integrated in the same fields with crops and/or pastures, sometimes in combination with (grazing) livestock. </w:t>
      </w:r>
    </w:p>
    <w:p w14:paraId="0CE7754A" w14:textId="77777777" w:rsidR="00BC2A6D" w:rsidRDefault="00000000">
      <w:pPr>
        <w:pStyle w:val="ListParagraph"/>
        <w:widowControl w:val="0"/>
        <w:numPr>
          <w:ilvl w:val="0"/>
          <w:numId w:val="6"/>
        </w:numPr>
        <w:spacing w:after="0" w:line="240" w:lineRule="auto"/>
        <w:jc w:val="both"/>
        <w:rPr>
          <w:rFonts w:ascii="Times New Roman" w:hAnsi="Times New Roman"/>
        </w:rPr>
      </w:pPr>
      <w:r>
        <w:rPr>
          <w:rFonts w:ascii="Times New Roman" w:hAnsi="Times New Roman"/>
        </w:rPr>
        <w:t>Cover crops (CC): crops planted in fallow periods, either in rotation or alongside the main crops.</w:t>
      </w:r>
    </w:p>
    <w:p w14:paraId="268B6121" w14:textId="77777777" w:rsidR="00BC2A6D" w:rsidRDefault="00000000">
      <w:pPr>
        <w:pStyle w:val="ListParagraph"/>
        <w:widowControl w:val="0"/>
        <w:numPr>
          <w:ilvl w:val="0"/>
          <w:numId w:val="6"/>
        </w:numPr>
        <w:spacing w:after="0" w:line="240" w:lineRule="auto"/>
        <w:jc w:val="both"/>
        <w:rPr>
          <w:rFonts w:ascii="Times New Roman" w:hAnsi="Times New Roman"/>
        </w:rPr>
      </w:pPr>
      <w:r>
        <w:rPr>
          <w:rFonts w:ascii="Times New Roman" w:hAnsi="Times New Roman"/>
        </w:rPr>
        <w:t xml:space="preserve">No-tillage (NT): cropping systems causing minimal or zero soil disturbance through tillage. </w:t>
      </w:r>
    </w:p>
    <w:p w14:paraId="1860CD59" w14:textId="5AB71EB6" w:rsidR="00BC2A6D" w:rsidRPr="00D76735" w:rsidRDefault="00000000" w:rsidP="00D76735">
      <w:pPr>
        <w:pStyle w:val="ListParagraph"/>
        <w:widowControl w:val="0"/>
        <w:numPr>
          <w:ilvl w:val="0"/>
          <w:numId w:val="6"/>
        </w:numPr>
        <w:spacing w:after="0" w:line="240" w:lineRule="auto"/>
        <w:jc w:val="both"/>
        <w:rPr>
          <w:rFonts w:ascii="Times New Roman" w:hAnsi="Times New Roman"/>
        </w:rPr>
      </w:pPr>
      <w:r>
        <w:rPr>
          <w:rFonts w:ascii="Times New Roman" w:hAnsi="Times New Roman"/>
        </w:rPr>
        <w:t xml:space="preserve">Organic farming (OF): although the exact legal definition of </w:t>
      </w:r>
      <w:proofErr w:type="spellStart"/>
      <w:r>
        <w:rPr>
          <w:rFonts w:ascii="Times New Roman" w:hAnsi="Times New Roman"/>
        </w:rPr>
        <w:t>OF</w:t>
      </w:r>
      <w:proofErr w:type="spellEnd"/>
      <w:r>
        <w:rPr>
          <w:rFonts w:ascii="Times New Roman" w:hAnsi="Times New Roman"/>
        </w:rPr>
        <w:t xml:space="preserve"> varies across nations </w:t>
      </w:r>
      <w:r>
        <w:rPr>
          <w:rFonts w:ascii="Times New Roman" w:hAnsi="Times New Roman"/>
          <w:vertAlign w:val="superscript"/>
        </w:rPr>
        <w:t>49</w:t>
      </w:r>
      <w:r>
        <w:rPr>
          <w:rFonts w:ascii="Times New Roman" w:hAnsi="Times New Roman"/>
        </w:rPr>
        <w:t>, it relies on using organic fertilizer inputs instead of synthetic fertilizers, such as compost or green manure, and prohibits the application of pesticides.</w:t>
      </w:r>
    </w:p>
    <w:p w14:paraId="54B29743" w14:textId="2C2A6A75" w:rsidR="00BC2A6D" w:rsidRDefault="00EF1AA5">
      <w:pPr>
        <w:pStyle w:val="Body"/>
        <w:widowControl w:val="0"/>
        <w:spacing w:after="0" w:line="240" w:lineRule="auto"/>
        <w:jc w:val="both"/>
        <w:rPr>
          <w:rFonts w:ascii="Times New Roman" w:eastAsia="Times New Roman" w:hAnsi="Times New Roman" w:cs="Times New Roman"/>
        </w:rPr>
      </w:pPr>
      <w:r w:rsidRPr="00EF1AA5">
        <w:rPr>
          <w:rFonts w:ascii="Times New Roman" w:hAnsi="Times New Roman"/>
        </w:rPr>
        <w:t>We acknowledge that some of the four RFPs may co-occur in practice—for instance, cover crops (CC) are often integrated as green manure within organic farming (OF) systems or combined with reduced tillage. Nevertheless, for analytical consistency, this study evaluates their yield responses as distinct practices.</w:t>
      </w:r>
      <w:r w:rsidR="00000000">
        <w:rPr>
          <w:rFonts w:ascii="Times New Roman" w:hAnsi="Times New Roman"/>
        </w:rPr>
        <w:br/>
      </w:r>
    </w:p>
    <w:p w14:paraId="6261CD90" w14:textId="77777777" w:rsidR="00BC2A6D" w:rsidRDefault="00000000">
      <w:pPr>
        <w:pStyle w:val="NormalWeb"/>
        <w:rPr>
          <w:sz w:val="22"/>
          <w:szCs w:val="22"/>
        </w:rPr>
      </w:pPr>
      <w:r>
        <w:rPr>
          <w:noProof/>
          <w:sz w:val="22"/>
          <w:szCs w:val="22"/>
        </w:rPr>
        <w:drawing>
          <wp:inline distT="0" distB="0" distL="0" distR="0" wp14:anchorId="464DCC7A" wp14:editId="31AA419B">
            <wp:extent cx="4704140" cy="2508179"/>
            <wp:effectExtent l="0" t="0" r="0" b="0"/>
            <wp:docPr id="1073741825" name="officeArt object" descr="A map of the world&#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5" name="A map of the worldAI-generated content may be incorrect." descr="A map of the worldAI-generated content may be incorrect."/>
                    <pic:cNvPicPr>
                      <a:picLocks noChangeAspect="1"/>
                    </pic:cNvPicPr>
                  </pic:nvPicPr>
                  <pic:blipFill>
                    <a:blip r:embed="rId10"/>
                    <a:stretch>
                      <a:fillRect/>
                    </a:stretch>
                  </pic:blipFill>
                  <pic:spPr>
                    <a:xfrm>
                      <a:off x="0" y="0"/>
                      <a:ext cx="4704140" cy="2508179"/>
                    </a:xfrm>
                    <a:prstGeom prst="rect">
                      <a:avLst/>
                    </a:prstGeom>
                    <a:ln w="12700" cap="flat">
                      <a:noFill/>
                      <a:miter lim="400000"/>
                    </a:ln>
                    <a:effectLst/>
                  </pic:spPr>
                </pic:pic>
              </a:graphicData>
            </a:graphic>
          </wp:inline>
        </w:drawing>
      </w:r>
    </w:p>
    <w:p w14:paraId="5D18008D" w14:textId="77777777" w:rsidR="00BC2A6D" w:rsidRDefault="00000000">
      <w:pPr>
        <w:pStyle w:val="NormalWeb"/>
        <w:rPr>
          <w:sz w:val="22"/>
          <w:szCs w:val="22"/>
        </w:rPr>
      </w:pPr>
      <w:r>
        <w:rPr>
          <w:rFonts w:eastAsia="Arial Unicode MS" w:cs="Arial Unicode MS"/>
          <w:sz w:val="22"/>
          <w:szCs w:val="22"/>
        </w:rPr>
        <w:t xml:space="preserve">Figure 1: Global distribution of the study sites </w:t>
      </w:r>
    </w:p>
    <w:p w14:paraId="7CDA08FF" w14:textId="77777777" w:rsidR="00BC2A6D" w:rsidRDefault="00000000">
      <w:pPr>
        <w:pStyle w:val="ListParagraph"/>
        <w:widowControl w:val="0"/>
        <w:numPr>
          <w:ilvl w:val="1"/>
          <w:numId w:val="7"/>
        </w:numPr>
        <w:spacing w:before="240" w:after="0" w:line="260" w:lineRule="exact"/>
        <w:jc w:val="both"/>
        <w:rPr>
          <w:rFonts w:ascii="Times New Roman" w:hAnsi="Times New Roman"/>
          <w:b/>
          <w:bCs/>
        </w:rPr>
      </w:pPr>
      <w:r>
        <w:rPr>
          <w:rFonts w:ascii="Times New Roman" w:hAnsi="Times New Roman"/>
          <w:b/>
          <w:bCs/>
        </w:rPr>
        <w:t>Environmental moderators</w:t>
      </w:r>
    </w:p>
    <w:p w14:paraId="53980E6E" w14:textId="77777777" w:rsidR="00BC2A6D" w:rsidRDefault="00BC2A6D">
      <w:pPr>
        <w:pStyle w:val="Body"/>
        <w:rPr>
          <w:rFonts w:ascii="Times New Roman" w:eastAsia="Times New Roman" w:hAnsi="Times New Roman" w:cs="Times New Roman"/>
        </w:rPr>
      </w:pPr>
    </w:p>
    <w:p w14:paraId="0B6E6C1A" w14:textId="335E5CA5" w:rsidR="00BC2A6D" w:rsidRDefault="00000000">
      <w:pPr>
        <w:pStyle w:val="Body"/>
        <w:tabs>
          <w:tab w:val="left" w:pos="720"/>
        </w:tabs>
        <w:spacing w:after="0" w:line="240" w:lineRule="auto"/>
        <w:jc w:val="both"/>
        <w:rPr>
          <w:rFonts w:ascii="Times New Roman" w:eastAsia="Times New Roman" w:hAnsi="Times New Roman" w:cs="Times New Roman"/>
        </w:rPr>
      </w:pPr>
      <w:r>
        <w:rPr>
          <w:rFonts w:ascii="Times New Roman" w:hAnsi="Times New Roman"/>
        </w:rPr>
        <w:t>The impact of the RFPs on crop yields was conditioned on three environmental components: climate, soil properties and topography.  For each of the three components, several indicators were identiﬁ</w:t>
      </w:r>
      <w:r w:rsidRPr="009800E7">
        <w:rPr>
          <w:rFonts w:ascii="Times New Roman" w:hAnsi="Times New Roman"/>
        </w:rPr>
        <w:t xml:space="preserve">ed (Table 1). </w:t>
      </w:r>
    </w:p>
    <w:p w14:paraId="2635E8A1"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7D2A3164" w14:textId="77777777" w:rsidR="00BC2A6D" w:rsidRDefault="00000000">
      <w:pPr>
        <w:pStyle w:val="Body"/>
        <w:tabs>
          <w:tab w:val="left" w:pos="720"/>
        </w:tabs>
        <w:spacing w:after="0" w:line="240" w:lineRule="auto"/>
        <w:jc w:val="both"/>
        <w:rPr>
          <w:rFonts w:ascii="Times New Roman" w:eastAsia="Times New Roman" w:hAnsi="Times New Roman" w:cs="Times New Roman"/>
        </w:rPr>
      </w:pPr>
      <w:r>
        <w:rPr>
          <w:rFonts w:ascii="Times New Roman" w:hAnsi="Times New Roman"/>
        </w:rPr>
        <w:lastRenderedPageBreak/>
        <w:t>Climate, topographic and soil property variables have been documented to have a major impact on crop growth and food production</w:t>
      </w:r>
      <w:r>
        <w:rPr>
          <w:rFonts w:ascii="Times New Roman" w:hAnsi="Times New Roman"/>
          <w:vertAlign w:val="superscript"/>
        </w:rPr>
        <w:t>50-53</w:t>
      </w:r>
      <w:r>
        <w:rPr>
          <w:rFonts w:ascii="Times New Roman" w:hAnsi="Times New Roman"/>
        </w:rPr>
        <w:t xml:space="preserve">. As climate variables, precipitation and temperature are closely associated with crop growth and crop yield and affect soil moisture status which in turn determines whether water might be a limiting factor in the crop phenological development. The aridity considered in this study as climate indicator is defined as the ratio of precipitation to potential evapotranspiration and is a measure of moisture availability for crop growth. </w:t>
      </w:r>
      <w:r>
        <w:rPr>
          <w:rFonts w:ascii="Times New Roman" w:hAnsi="Times New Roman"/>
          <w:color w:val="222222"/>
          <w:u w:color="222222"/>
          <w:shd w:val="clear" w:color="auto" w:fill="FFFFFF"/>
        </w:rPr>
        <w:t>The global aridity index for the 1970–2000 period was obtained from the Consortium for Spatial Information (1 km)</w:t>
      </w:r>
      <w:r>
        <w:rPr>
          <w:rFonts w:ascii="Times New Roman" w:hAnsi="Times New Roman"/>
          <w:color w:val="222222"/>
          <w:u w:color="222222"/>
          <w:shd w:val="clear" w:color="auto" w:fill="FFFFFF"/>
          <w:vertAlign w:val="superscript"/>
        </w:rPr>
        <w:t>54</w:t>
      </w:r>
      <w:r>
        <w:rPr>
          <w:rFonts w:ascii="Times New Roman" w:hAnsi="Times New Roman"/>
          <w:color w:val="222222"/>
          <w:u w:color="222222"/>
          <w:shd w:val="clear" w:color="auto" w:fill="FFFFFF"/>
        </w:rPr>
        <w:t xml:space="preserve">. </w:t>
      </w:r>
      <w:r>
        <w:rPr>
          <w:rFonts w:ascii="Times New Roman" w:hAnsi="Times New Roman"/>
        </w:rPr>
        <w:t>The Growing Degree (GDD) measures the heat accumulation over the growing season (</w:t>
      </w:r>
      <w:r>
        <w:rPr>
          <w:rFonts w:ascii="Times New Roman" w:hAnsi="Times New Roman"/>
          <w:kern w:val="0"/>
        </w:rPr>
        <w:t>° C</w:t>
      </w:r>
      <w:r>
        <w:rPr>
          <w:rFonts w:ascii="Times New Roman" w:hAnsi="Times New Roman"/>
        </w:rPr>
        <w:t xml:space="preserve">) and is a measure of the relationship between temperature and plant development. The Growing degree days (GDD) used in this based was sourced from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&gt;&lt;Author&gt;Ahvo&lt;/Author&gt;&lt;Year&gt;2023&lt;/Year&gt;&lt;Prefix&gt;&lt;/Prefix&gt;&lt;Suffix&gt;&lt;/Suffix&gt;&lt;Pages&gt;&lt;/Pages&gt;&lt;DisplayText&gt;Ahvo, et al. 40&lt;/DisplayText&gt;&lt;record&gt;&lt;rec-number&gt;213&lt;/rec-number&gt;&lt;foreign-keys&gt;&lt;key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record&gt;&lt;/Cite&gt;&lt;/EndNote&gt;</w:instrText>
      </w:r>
      <w:r>
        <w:rPr>
          <w:rFonts w:ascii="Times New Roman" w:eastAsia="Times New Roman" w:hAnsi="Times New Roman" w:cs="Times New Roman"/>
        </w:rPr>
        <w:fldChar w:fldCharType="separate"/>
      </w:r>
      <w:r>
        <w:rPr>
          <w:rFonts w:ascii="Times New Roman" w:hAnsi="Times New Roman"/>
        </w:rPr>
        <w:t>Ahvo, et al. 40</w:t>
      </w:r>
      <w:r>
        <w:rPr>
          <w:rFonts w:ascii="Times New Roman" w:eastAsia="Times New Roman" w:hAnsi="Times New Roman" w:cs="Times New Roman"/>
        </w:rPr>
        <w:fldChar w:fldCharType="end"/>
      </w:r>
      <w:r>
        <w:rPr>
          <w:rFonts w:ascii="Times New Roman" w:hAnsi="Times New Roman"/>
        </w:rPr>
        <w:t xml:space="preserve">. </w:t>
      </w:r>
    </w:p>
    <w:p w14:paraId="56B5BF6A"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157D298A" w14:textId="77777777" w:rsidR="00BC2A6D" w:rsidRDefault="00000000">
      <w:pPr>
        <w:pStyle w:val="Body"/>
        <w:widowControl w:val="0"/>
        <w:spacing w:after="0" w:line="276" w:lineRule="exact"/>
        <w:jc w:val="both"/>
        <w:rPr>
          <w:rFonts w:ascii="Times New Roman" w:eastAsia="Times New Roman" w:hAnsi="Times New Roman" w:cs="Times New Roman"/>
        </w:rPr>
      </w:pPr>
      <w:r>
        <w:rPr>
          <w:rFonts w:ascii="Times New Roman" w:hAnsi="Times New Roman"/>
        </w:rPr>
        <w:t>Topography attributes interact with weather to affect soil temperature and moisture</w:t>
      </w:r>
      <w:r>
        <w:rPr>
          <w:rFonts w:ascii="Times New Roman" w:hAnsi="Times New Roman"/>
          <w:vertAlign w:val="superscript"/>
        </w:rPr>
        <w:t>55,56</w:t>
      </w:r>
      <w:r>
        <w:rPr>
          <w:rFonts w:ascii="Times New Roman" w:hAnsi="Times New Roman"/>
        </w:rPr>
        <w:t>. Water stress occurs most likely in upslope positions with lower and higher variability in yields compared to lower slope positions</w:t>
      </w:r>
      <w:r>
        <w:rPr>
          <w:rFonts w:ascii="Times New Roman" w:hAnsi="Times New Roman"/>
          <w:vertAlign w:val="superscript"/>
        </w:rPr>
        <w:t>57-59</w:t>
      </w:r>
      <w:r>
        <w:rPr>
          <w:rFonts w:ascii="Times New Roman" w:hAnsi="Times New Roman"/>
        </w:rPr>
        <w:t xml:space="preserve">. Topographic variables such as elevation and slope (1 km) were obtained via the platform provided by the global study of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&gt;&lt;Author&gt;Amatulli&lt;/Author&gt;&lt;Year&gt;2018&lt;/Year&gt;&lt;RecNum&gt;177&lt;/RecNum&gt;&lt;Prefix&gt;&lt;/Prefix&gt;&lt;Suffix&gt;&lt;/Suffix&gt;&lt;Pages&gt;&lt;/Pages&gt;&lt;DisplayText&gt;Amatulli, et al. 60&lt;/DisplayText&gt;&lt;record&gt;&lt;rec-number&gt;177&lt;/rec-number&gt;&lt;foreign-keys&gt;&lt;key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record&gt;&lt;/Cite&gt;&lt;/EndNote&gt;</w:instrText>
      </w:r>
      <w:r>
        <w:rPr>
          <w:rFonts w:ascii="Times New Roman" w:eastAsia="Times New Roman" w:hAnsi="Times New Roman" w:cs="Times New Roman"/>
        </w:rPr>
        <w:fldChar w:fldCharType="separate"/>
      </w:r>
      <w:r>
        <w:rPr>
          <w:rFonts w:ascii="Times New Roman" w:hAnsi="Times New Roman"/>
        </w:rPr>
        <w:t>Amatulli, et al. 60</w:t>
      </w:r>
      <w:r>
        <w:rPr>
          <w:rFonts w:ascii="Times New Roman" w:eastAsia="Times New Roman" w:hAnsi="Times New Roman" w:cs="Times New Roman"/>
        </w:rPr>
        <w:fldChar w:fldCharType="end"/>
      </w:r>
      <w:r>
        <w:rPr>
          <w:rFonts w:ascii="Times New Roman" w:hAnsi="Times New Roman"/>
        </w:rPr>
        <w:t xml:space="preserve">. The landform grid data was sourced from the study of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&gt;&lt;Author&gt;Iwahashi&lt;/Author&gt;&lt;Year&gt;2022&lt;/Year&gt;&lt;RecNum&gt;384&lt;/RecNum&gt;&lt;Prefix&gt;&lt;/Prefix&gt;&lt;Suffix&gt;&lt;/Suffix&gt;&lt;Pages&gt;&lt;/Pages&gt;&lt;DisplayText&gt;Iwahashi and Yamazaki 61&lt;/DisplayText&gt;&lt;record&gt;&lt;rec-number&gt;384&lt;/rec-number&gt;&lt;foreign-keys&gt;&lt;key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record&gt;&lt;/Cite&gt;&lt;/EndNote&gt;</w:instrText>
      </w:r>
      <w:r>
        <w:rPr>
          <w:rFonts w:ascii="Times New Roman" w:eastAsia="Times New Roman" w:hAnsi="Times New Roman" w:cs="Times New Roman"/>
        </w:rPr>
        <w:fldChar w:fldCharType="separate"/>
      </w:r>
      <w:r>
        <w:rPr>
          <w:rFonts w:ascii="Times New Roman" w:hAnsi="Times New Roman"/>
        </w:rPr>
        <w:t>Iwahashi and Yamazaki 61</w:t>
      </w:r>
      <w:r>
        <w:rPr>
          <w:rFonts w:ascii="Times New Roman" w:eastAsia="Times New Roman" w:hAnsi="Times New Roman" w:cs="Times New Roman"/>
        </w:rPr>
        <w:fldChar w:fldCharType="end"/>
      </w:r>
      <w:r>
        <w:rPr>
          <w:rFonts w:ascii="Times New Roman" w:hAnsi="Times New Roman"/>
        </w:rPr>
        <w:t>.</w:t>
      </w:r>
    </w:p>
    <w:p w14:paraId="7DAF596A"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4B061FE2" w14:textId="77777777" w:rsidR="00BC2A6D" w:rsidRDefault="00000000">
      <w:pPr>
        <w:pStyle w:val="Body"/>
        <w:tabs>
          <w:tab w:val="left" w:pos="720"/>
        </w:tabs>
        <w:spacing w:after="0" w:line="240" w:lineRule="auto"/>
        <w:jc w:val="both"/>
        <w:rPr>
          <w:rFonts w:ascii="Times New Roman" w:eastAsia="Times New Roman" w:hAnsi="Times New Roman" w:cs="Times New Roman"/>
        </w:rPr>
      </w:pPr>
      <w:r>
        <w:rPr>
          <w:rFonts w:ascii="Times New Roman" w:hAnsi="Times New Roman"/>
        </w:rPr>
        <w:t>Soil properties determine the local environment for crop growth by affecting soil aeration, nutrient cycling and root growth</w:t>
      </w:r>
      <w:r>
        <w:rPr>
          <w:rFonts w:ascii="Times New Roman" w:hAnsi="Times New Roman"/>
          <w:vertAlign w:val="superscript"/>
        </w:rPr>
        <w:t>62,63</w:t>
      </w:r>
      <w:r>
        <w:rPr>
          <w:rFonts w:ascii="Times New Roman" w:hAnsi="Times New Roman"/>
        </w:rPr>
        <w:t>. For instance, soil texture affects the available water capacity in the root space while soil pH influences the availability of nutrients to plants and microbial activity</w:t>
      </w:r>
      <w:r>
        <w:rPr>
          <w:rFonts w:ascii="Times New Roman" w:hAnsi="Times New Roman"/>
          <w:vertAlign w:val="superscript"/>
        </w:rPr>
        <w:t>64,65</w:t>
      </w:r>
      <w:r>
        <w:rPr>
          <w:rFonts w:ascii="Times New Roman" w:hAnsi="Times New Roman"/>
        </w:rPr>
        <w:t xml:space="preserve">. Global soil properties such as soil texture (sand, silt, clay), bulk density (BD), soil organic carbon (SOC), pH, and soil types were downloaded from the </w:t>
      </w:r>
      <w:proofErr w:type="spellStart"/>
      <w:r>
        <w:rPr>
          <w:rFonts w:ascii="Times New Roman" w:hAnsi="Times New Roman"/>
        </w:rPr>
        <w:t>SoilGrids</w:t>
      </w:r>
      <w:proofErr w:type="spellEnd"/>
      <w:r>
        <w:rPr>
          <w:rFonts w:ascii="Times New Roman" w:hAnsi="Times New Roman"/>
        </w:rPr>
        <w:t xml:space="preserve"> (250 m) platform which is a global soil information system developed by ISRIC – World Soil Information</w:t>
      </w:r>
      <w:r>
        <w:rPr>
          <w:rFonts w:ascii="Times New Roman" w:hAnsi="Times New Roman"/>
          <w:color w:val="222222"/>
          <w:u w:color="222222"/>
          <w:shd w:val="clear" w:color="auto" w:fill="FFFFFF"/>
        </w:rPr>
        <w:t xml:space="preserve"> </w:t>
      </w:r>
      <w:r>
        <w:rPr>
          <w:rFonts w:ascii="Times New Roman" w:hAnsi="Times New Roman"/>
          <w:color w:val="222222"/>
          <w:u w:color="222222"/>
          <w:shd w:val="clear" w:color="auto" w:fill="FFFFFF"/>
          <w:vertAlign w:val="superscript"/>
        </w:rPr>
        <w:t>41</w:t>
      </w:r>
      <w:r>
        <w:rPr>
          <w:rFonts w:ascii="Times New Roman" w:hAnsi="Times New Roman"/>
          <w:color w:val="222222"/>
          <w:u w:color="222222"/>
          <w:shd w:val="clear" w:color="auto" w:fill="FFFFFF"/>
        </w:rPr>
        <w:t xml:space="preserve">. </w:t>
      </w:r>
      <w:r>
        <w:rPr>
          <w:rFonts w:ascii="Times New Roman" w:hAnsi="Times New Roman"/>
        </w:rPr>
        <w:t>The global stock of soil Olsen phosphorus came from the global study carried out by McDowell et al.</w:t>
      </w:r>
      <w:r>
        <w:rPr>
          <w:rFonts w:ascii="Times New Roman" w:hAnsi="Times New Roman"/>
          <w:vertAlign w:val="superscript"/>
        </w:rPr>
        <w:t>66</w:t>
      </w:r>
      <w:r>
        <w:rPr>
          <w:rFonts w:ascii="Times New Roman" w:hAnsi="Times New Roman"/>
        </w:rPr>
        <w:t xml:space="preserve"> </w:t>
      </w:r>
    </w:p>
    <w:p w14:paraId="4501FBFD"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782CFF69" w14:textId="77777777" w:rsidR="00BC2A6D" w:rsidRDefault="00000000">
      <w:pPr>
        <w:pStyle w:val="Body"/>
        <w:tabs>
          <w:tab w:val="left" w:pos="720"/>
        </w:tabs>
        <w:spacing w:after="0" w:line="240" w:lineRule="auto"/>
        <w:jc w:val="both"/>
        <w:rPr>
          <w:rFonts w:ascii="Times New Roman" w:eastAsia="Times New Roman" w:hAnsi="Times New Roman" w:cs="Times New Roman"/>
        </w:rPr>
      </w:pPr>
      <w:r>
        <w:rPr>
          <w:rFonts w:ascii="Times New Roman" w:hAnsi="Times New Roman"/>
        </w:rPr>
        <w:t>In addition to assessing broad scale environmental factors, we specifically investigated additional management variables—cover cropping (yes/no), nitrogen fertilizer application (yes/no), weeding (yes/no), and crop rotation (yes/no)—within the no-tillage (NT) practice. This focus on NT was motivated by data availability. Among RFPs in our database, NT has the largest number of observations with detailed management information. In contrast, other RFPs lacked sufficient data on these management variables to support meaningful subgroup analyses. Therefore, analyzing NT with these additional factors allows us to better understand how specific management decisions within this practice influence yield variability.</w:t>
      </w:r>
    </w:p>
    <w:p w14:paraId="714F4B90"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0A12CD39" w14:textId="77777777" w:rsidR="00BC2A6D" w:rsidRDefault="00000000">
      <w:pPr>
        <w:pStyle w:val="Body"/>
        <w:tabs>
          <w:tab w:val="left" w:pos="720"/>
        </w:tabs>
        <w:spacing w:after="0" w:line="240" w:lineRule="auto"/>
        <w:jc w:val="both"/>
        <w:rPr>
          <w:rFonts w:ascii="Times New Roman" w:eastAsia="Times New Roman" w:hAnsi="Times New Roman" w:cs="Times New Roman"/>
        </w:rPr>
      </w:pPr>
      <w:r>
        <w:rPr>
          <w:rFonts w:ascii="Times New Roman" w:hAnsi="Times New Roman"/>
        </w:rPr>
        <w:t xml:space="preserve">To integrate the meta-analysis data with environmental variables, we overlaid spatial datasets of input factors—such as climate, topographic and soil properties from </w:t>
      </w:r>
      <w:proofErr w:type="spellStart"/>
      <w:r>
        <w:rPr>
          <w:rFonts w:ascii="Times New Roman" w:hAnsi="Times New Roman"/>
        </w:rPr>
        <w:t>SoilGrids</w:t>
      </w:r>
      <w:proofErr w:type="spellEnd"/>
      <w:r>
        <w:rPr>
          <w:rFonts w:ascii="Times New Roman" w:hAnsi="Times New Roman"/>
        </w:rPr>
        <w:t xml:space="preserve">, - available in raster format with the geographic coordinates of the RFPs reported in the meta-studies. Using these coordinates, we extracted corresponding environmental variable values for each observation point. This spatial extraction and data processing were carried out using R software, enabling the linkage of RFP yield data with environmental conditions. </w:t>
      </w:r>
    </w:p>
    <w:p w14:paraId="0E57CB91" w14:textId="77777777" w:rsidR="00BC2A6D" w:rsidRDefault="00BC2A6D">
      <w:pPr>
        <w:pStyle w:val="Body"/>
        <w:tabs>
          <w:tab w:val="left" w:pos="720"/>
        </w:tabs>
        <w:spacing w:after="0" w:line="240" w:lineRule="auto"/>
        <w:jc w:val="both"/>
        <w:rPr>
          <w:rFonts w:ascii="Times New Roman" w:eastAsia="Times New Roman" w:hAnsi="Times New Roman" w:cs="Times New Roman"/>
          <w:color w:val="222222"/>
          <w:u w:color="222222"/>
          <w:shd w:val="clear" w:color="auto" w:fill="FFFFFF"/>
        </w:rPr>
      </w:pPr>
    </w:p>
    <w:p w14:paraId="59293491" w14:textId="77777777" w:rsidR="00BC2A6D" w:rsidRDefault="00000000">
      <w:pPr>
        <w:pStyle w:val="ListParagraph"/>
        <w:widowControl w:val="0"/>
        <w:numPr>
          <w:ilvl w:val="1"/>
          <w:numId w:val="4"/>
        </w:numPr>
        <w:spacing w:after="0" w:line="260" w:lineRule="exact"/>
        <w:jc w:val="both"/>
        <w:rPr>
          <w:rFonts w:ascii="Times New Roman" w:hAnsi="Times New Roman"/>
          <w:b/>
          <w:bCs/>
        </w:rPr>
      </w:pPr>
      <w:r>
        <w:rPr>
          <w:rFonts w:ascii="Times New Roman" w:hAnsi="Times New Roman"/>
          <w:b/>
          <w:bCs/>
        </w:rPr>
        <w:t>Data analysis</w:t>
      </w:r>
    </w:p>
    <w:p w14:paraId="1CD2960A" w14:textId="77777777" w:rsidR="00BC2A6D" w:rsidRDefault="00BC2A6D">
      <w:pPr>
        <w:pStyle w:val="ListParagraph"/>
        <w:widowControl w:val="0"/>
        <w:spacing w:after="0" w:line="260" w:lineRule="exact"/>
        <w:ind w:left="792"/>
        <w:jc w:val="both"/>
        <w:rPr>
          <w:rFonts w:ascii="Times New Roman" w:eastAsia="Times New Roman" w:hAnsi="Times New Roman" w:cs="Times New Roman"/>
          <w:b/>
          <w:bCs/>
        </w:rPr>
      </w:pPr>
    </w:p>
    <w:p w14:paraId="55D2BEAB" w14:textId="77777777" w:rsidR="00BC2A6D" w:rsidRDefault="00000000">
      <w:pPr>
        <w:pStyle w:val="Body"/>
        <w:widowControl w:val="0"/>
        <w:spacing w:after="0" w:line="260" w:lineRule="exact"/>
        <w:ind w:right="622"/>
        <w:jc w:val="both"/>
        <w:rPr>
          <w:rFonts w:ascii="Times New Roman" w:eastAsia="Times New Roman" w:hAnsi="Times New Roman" w:cs="Times New Roman"/>
        </w:rPr>
      </w:pPr>
      <w:r>
        <w:rPr>
          <w:rFonts w:ascii="Times New Roman" w:hAnsi="Times New Roman"/>
        </w:rPr>
        <w:t xml:space="preserve">The data analysis focused on the effect size (ES), which in our case reflects the response ratios (RR) of crop yield to these management systems. The ES was calculated as the natural logarithm of the response ratio (RR) following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&gt;&lt;Author&gt;Luo&lt;/Author&gt;&lt;Year&gt;2006&lt;/Year&gt;&lt;Prefix&gt;&lt;/Prefix&gt;&lt;Suffix&gt;&lt;/Suffix&gt;&lt;Pages&gt;&lt;/Pages&gt;&lt;DisplayText&gt;Luo, et al. 67&lt;/DisplayText&gt;&lt;record&gt;&lt;rec-number&gt;235&lt;/rec-number&gt;&lt;foreign-keys&gt;&lt;key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record&gt;&lt;/Cite&gt;&lt;/EndNote&gt;</w:instrText>
      </w:r>
      <w:r>
        <w:rPr>
          <w:rFonts w:ascii="Times New Roman" w:eastAsia="Times New Roman" w:hAnsi="Times New Roman" w:cs="Times New Roman"/>
        </w:rPr>
        <w:fldChar w:fldCharType="separate"/>
      </w:r>
      <w:r>
        <w:rPr>
          <w:rFonts w:ascii="Times New Roman" w:hAnsi="Times New Roman"/>
        </w:rPr>
        <w:t>Luo, et al. 67</w:t>
      </w:r>
      <w:r>
        <w:rPr>
          <w:rFonts w:ascii="Times New Roman" w:eastAsia="Times New Roman" w:hAnsi="Times New Roman" w:cs="Times New Roman"/>
        </w:rPr>
        <w:fldChar w:fldCharType="end"/>
      </w:r>
      <w:r>
        <w:rPr>
          <w:rFonts w:ascii="Times New Roman" w:hAnsi="Times New Roman"/>
          <w:lang w:val="de-DE"/>
        </w:rPr>
        <w:t xml:space="preserve"> :  RR = </w:t>
      </w:r>
      <w:proofErr w:type="spellStart"/>
      <w:r>
        <w:rPr>
          <w:rFonts w:ascii="Times New Roman" w:hAnsi="Times New Roman"/>
          <w:lang w:val="de-DE"/>
        </w:rPr>
        <w:t>ln</w:t>
      </w:r>
      <w:proofErr w:type="spellEnd"/>
      <w:r>
        <w:rPr>
          <w:rFonts w:ascii="Times New Roman" w:hAnsi="Times New Roman"/>
          <w:lang w:val="de-DE"/>
        </w:rPr>
        <w:t>(X</w:t>
      </w:r>
      <w:r>
        <w:rPr>
          <w:rFonts w:ascii="Times New Roman" w:hAnsi="Times New Roman"/>
          <w:vertAlign w:val="subscript"/>
        </w:rPr>
        <w:t>T</w:t>
      </w:r>
      <w:r>
        <w:rPr>
          <w:rFonts w:ascii="Times New Roman" w:hAnsi="Times New Roman"/>
        </w:rPr>
        <w:t>/X</w:t>
      </w:r>
      <w:r>
        <w:rPr>
          <w:rFonts w:ascii="Times New Roman" w:hAnsi="Times New Roman"/>
          <w:vertAlign w:val="subscript"/>
        </w:rPr>
        <w:t>C</w:t>
      </w:r>
      <w:r>
        <w:rPr>
          <w:rFonts w:ascii="Times New Roman" w:hAnsi="Times New Roman"/>
        </w:rPr>
        <w:t>) where X</w:t>
      </w:r>
      <w:r>
        <w:rPr>
          <w:rFonts w:ascii="Times New Roman" w:hAnsi="Times New Roman"/>
          <w:vertAlign w:val="subscript"/>
        </w:rPr>
        <w:t>T</w:t>
      </w:r>
      <w:r>
        <w:rPr>
          <w:rFonts w:ascii="Times New Roman" w:hAnsi="Times New Roman"/>
        </w:rPr>
        <w:t xml:space="preserve"> and X</w:t>
      </w:r>
      <w:r>
        <w:rPr>
          <w:rFonts w:ascii="Times New Roman" w:hAnsi="Times New Roman"/>
          <w:vertAlign w:val="subscript"/>
        </w:rPr>
        <w:t xml:space="preserve">C </w:t>
      </w:r>
      <w:r>
        <w:rPr>
          <w:rFonts w:ascii="Times New Roman" w:hAnsi="Times New Roman"/>
        </w:rPr>
        <w:t>are the yield value under treatment (AF, CC, NT, or OF) and control, respectively. A moderator analysis was conducted to determine the RFPs effects ES. This analysis was carried out by grouping the metadata into the following categories:</w:t>
      </w:r>
    </w:p>
    <w:p w14:paraId="10E99970"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6CB02611"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u w:val="single"/>
        </w:rPr>
        <w:lastRenderedPageBreak/>
        <w:t>Crop groups</w:t>
      </w:r>
      <w:r>
        <w:rPr>
          <w:rFonts w:ascii="Times New Roman" w:hAnsi="Times New Roman"/>
        </w:rPr>
        <w:t xml:space="preserve">: The previously defined crop groups were considered: maize, wheat, soybean and rice, cereal, cash-crop and vegetable &amp; fruits and others. </w:t>
      </w:r>
    </w:p>
    <w:p w14:paraId="3CB145D9"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Bulk densities: Low values of BD describe permeable soils allowing plants to reach the nutrient and water easily while high values denote a compacted soil with high mechanical impedance resulting in limited roots growth. It was categorized into three different categories: low (&lt; 1.2 g cm</w:t>
      </w:r>
      <w:r>
        <w:rPr>
          <w:rFonts w:ascii="Arial Unicode MS" w:hAnsi="Arial Unicode MS"/>
        </w:rPr>
        <w:t>⁻</w:t>
      </w:r>
      <w:r>
        <w:rPr>
          <w:rFonts w:ascii="Times New Roman" w:hAnsi="Times New Roman"/>
        </w:rPr>
        <w:t>³</w:t>
      </w:r>
      <w:r>
        <w:rPr>
          <w:rFonts w:ascii="Times New Roman" w:hAnsi="Times New Roman"/>
          <w:vertAlign w:val="superscript"/>
        </w:rPr>
        <w:t>)</w:t>
      </w:r>
      <w:r>
        <w:rPr>
          <w:rFonts w:ascii="Times New Roman" w:hAnsi="Times New Roman"/>
        </w:rPr>
        <w:t>, moderate (1.2 g cm</w:t>
      </w:r>
      <w:r>
        <w:rPr>
          <w:rFonts w:ascii="Arial Unicode MS" w:hAnsi="Arial Unicode MS"/>
        </w:rPr>
        <w:t>⁻</w:t>
      </w:r>
      <w:r>
        <w:rPr>
          <w:rFonts w:ascii="Times New Roman" w:hAnsi="Times New Roman"/>
        </w:rPr>
        <w:t>³ &lt; BD &lt; 1.47 g cm</w:t>
      </w:r>
      <w:r>
        <w:rPr>
          <w:rFonts w:ascii="Arial Unicode MS" w:hAnsi="Arial Unicode MS"/>
        </w:rPr>
        <w:t>⁻</w:t>
      </w:r>
      <w:r>
        <w:rPr>
          <w:rFonts w:ascii="Times New Roman" w:hAnsi="Times New Roman"/>
        </w:rPr>
        <w:t>³), high (BD &gt; 1.47 g cm</w:t>
      </w:r>
      <w:r>
        <w:rPr>
          <w:rFonts w:ascii="Arial Unicode MS" w:hAnsi="Arial Unicode MS"/>
        </w:rPr>
        <w:t>⁻</w:t>
      </w:r>
      <w:r>
        <w:rPr>
          <w:rFonts w:ascii="Times New Roman" w:hAnsi="Times New Roman"/>
        </w:rPr>
        <w:t>³)</w:t>
      </w:r>
      <w:r>
        <w:rPr>
          <w:rFonts w:ascii="Times New Roman" w:hAnsi="Times New Roman"/>
          <w:vertAlign w:val="superscript"/>
        </w:rPr>
        <w:t>68</w:t>
      </w:r>
      <w:r>
        <w:rPr>
          <w:rFonts w:ascii="Times New Roman" w:hAnsi="Times New Roman"/>
        </w:rPr>
        <w:t xml:space="preserve">. </w:t>
      </w:r>
    </w:p>
    <w:p w14:paraId="77D1706B"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 xml:space="preserve">pH: Three categories were considered: acidic soils (pH &lt; 6.3,) neutral soils (6.3 &lt; pH &lt; 7.4) and alkaline soils (pH &gt; 7.4). </w:t>
      </w:r>
    </w:p>
    <w:p w14:paraId="38D2A9DD"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Phosphorus: The P distribution classes were low: P &lt; 10.9 mg kg</w:t>
      </w:r>
      <w:r>
        <w:rPr>
          <w:rFonts w:ascii="Arial Unicode MS" w:hAnsi="Arial Unicode MS"/>
        </w:rPr>
        <w:t>⁻</w:t>
      </w:r>
      <w:r>
        <w:rPr>
          <w:rFonts w:ascii="Times New Roman" w:hAnsi="Times New Roman"/>
        </w:rPr>
        <w:t>¹, moderate: 10.9 mg kg</w:t>
      </w:r>
      <w:r>
        <w:rPr>
          <w:rFonts w:ascii="Arial Unicode MS" w:hAnsi="Arial Unicode MS"/>
        </w:rPr>
        <w:t>⁻</w:t>
      </w:r>
      <w:r>
        <w:rPr>
          <w:rFonts w:ascii="Times New Roman" w:hAnsi="Times New Roman"/>
        </w:rPr>
        <w:t>¹ &lt; P &lt; 21.4 mg kg</w:t>
      </w:r>
      <w:r>
        <w:rPr>
          <w:rFonts w:ascii="Arial Unicode MS" w:hAnsi="Arial Unicode MS"/>
        </w:rPr>
        <w:t>⁻</w:t>
      </w:r>
      <w:r>
        <w:rPr>
          <w:rFonts w:ascii="Times New Roman" w:hAnsi="Times New Roman"/>
        </w:rPr>
        <w:t>¹ and high: P &gt; 21.4 mg kg</w:t>
      </w:r>
      <w:r>
        <w:rPr>
          <w:rFonts w:ascii="Arial Unicode MS" w:hAnsi="Arial Unicode MS"/>
        </w:rPr>
        <w:t>⁻</w:t>
      </w:r>
      <w:r>
        <w:rPr>
          <w:rFonts w:ascii="Times New Roman" w:hAnsi="Times New Roman"/>
        </w:rPr>
        <w:t>¹</w:t>
      </w:r>
      <w:r>
        <w:rPr>
          <w:rFonts w:ascii="Times New Roman" w:hAnsi="Times New Roman"/>
          <w:vertAlign w:val="superscript"/>
        </w:rPr>
        <w:t>69</w:t>
      </w:r>
      <w:r>
        <w:rPr>
          <w:rFonts w:ascii="Times New Roman" w:hAnsi="Times New Roman"/>
        </w:rPr>
        <w:t>.</w:t>
      </w:r>
    </w:p>
    <w:p w14:paraId="04CB59D5" w14:textId="77777777" w:rsidR="00BC2A6D" w:rsidRDefault="00000000">
      <w:pPr>
        <w:pStyle w:val="ListParagraph"/>
        <w:numPr>
          <w:ilvl w:val="0"/>
          <w:numId w:val="10"/>
        </w:numPr>
        <w:spacing w:after="0" w:line="240" w:lineRule="auto"/>
        <w:jc w:val="both"/>
        <w:rPr>
          <w:rFonts w:ascii="Times New Roman" w:hAnsi="Times New Roman"/>
        </w:rPr>
      </w:pPr>
      <w:r>
        <w:rPr>
          <w:rFonts w:ascii="Times New Roman" w:hAnsi="Times New Roman"/>
        </w:rPr>
        <w:t>Soil organic carbon: Three categories were considered:  SOC &lt; 5 g kg</w:t>
      </w:r>
      <w:r>
        <w:rPr>
          <w:rFonts w:ascii="Arial Unicode MS" w:hAnsi="Arial Unicode MS"/>
        </w:rPr>
        <w:t>⁻</w:t>
      </w:r>
      <w:r>
        <w:rPr>
          <w:rFonts w:ascii="Times New Roman" w:hAnsi="Times New Roman"/>
        </w:rPr>
        <w:t>¹, 5 g kg</w:t>
      </w:r>
      <w:r>
        <w:rPr>
          <w:rFonts w:ascii="Arial Unicode MS" w:hAnsi="Arial Unicode MS"/>
        </w:rPr>
        <w:t>⁻</w:t>
      </w:r>
      <w:r>
        <w:rPr>
          <w:rFonts w:ascii="Times New Roman" w:hAnsi="Times New Roman"/>
        </w:rPr>
        <w:t>¹ &lt; SOC &lt; 10 g kg</w:t>
      </w:r>
      <w:r>
        <w:rPr>
          <w:rFonts w:ascii="Arial Unicode MS" w:hAnsi="Arial Unicode MS"/>
        </w:rPr>
        <w:t>⁻</w:t>
      </w:r>
      <w:r>
        <w:rPr>
          <w:rFonts w:ascii="Times New Roman" w:hAnsi="Times New Roman"/>
        </w:rPr>
        <w:t>¹ and SOC &gt; 10 g kg</w:t>
      </w:r>
      <w:r>
        <w:rPr>
          <w:rFonts w:ascii="Arial Unicode MS" w:hAnsi="Arial Unicode MS"/>
        </w:rPr>
        <w:t>⁻</w:t>
      </w:r>
      <w:r>
        <w:rPr>
          <w:rFonts w:ascii="Times New Roman" w:hAnsi="Times New Roman"/>
        </w:rPr>
        <w:t>¹</w:t>
      </w:r>
      <w:r>
        <w:rPr>
          <w:rFonts w:ascii="Times New Roman" w:hAnsi="Times New Roman"/>
          <w:vertAlign w:val="superscript"/>
        </w:rPr>
        <w:t>70</w:t>
      </w:r>
      <w:r>
        <w:rPr>
          <w:rFonts w:ascii="Times New Roman" w:hAnsi="Times New Roman"/>
        </w:rPr>
        <w:t xml:space="preserve">. </w:t>
      </w:r>
    </w:p>
    <w:p w14:paraId="0841EBFE" w14:textId="77777777" w:rsidR="00BC2A6D" w:rsidRDefault="00000000">
      <w:pPr>
        <w:pStyle w:val="ListParagraph"/>
        <w:numPr>
          <w:ilvl w:val="0"/>
          <w:numId w:val="10"/>
        </w:numPr>
        <w:spacing w:after="0" w:line="240" w:lineRule="auto"/>
        <w:jc w:val="both"/>
        <w:rPr>
          <w:rFonts w:ascii="Times New Roman" w:hAnsi="Times New Roman"/>
        </w:rPr>
      </w:pPr>
      <w:r>
        <w:rPr>
          <w:rFonts w:ascii="Times New Roman" w:hAnsi="Times New Roman"/>
        </w:rPr>
        <w:t>Soil texture: soil textures were classified into three broad categories: fine (clay, silty clay loam, clay loam, and sandy clay), medium (silt loam and loam), and coarse (sandy loam and sand), following USDA Soil Taxonomy</w:t>
      </w:r>
      <w:r>
        <w:rPr>
          <w:rFonts w:ascii="Times New Roman" w:hAnsi="Times New Roman"/>
          <w:vertAlign w:val="superscript"/>
        </w:rPr>
        <w:t>71</w:t>
      </w:r>
      <w:r>
        <w:rPr>
          <w:rFonts w:ascii="Times New Roman" w:hAnsi="Times New Roman"/>
        </w:rPr>
        <w:t xml:space="preserve"> and FAO guidelines</w:t>
      </w:r>
      <w:r>
        <w:rPr>
          <w:rFonts w:ascii="Times New Roman" w:hAnsi="Times New Roman"/>
          <w:vertAlign w:val="superscript"/>
        </w:rPr>
        <w:t>72</w:t>
      </w:r>
      <w:r>
        <w:rPr>
          <w:rFonts w:ascii="Times New Roman" w:hAnsi="Times New Roman"/>
        </w:rPr>
        <w:t>.</w:t>
      </w:r>
    </w:p>
    <w:p w14:paraId="640717CF" w14:textId="77777777" w:rsidR="00BC2A6D" w:rsidRDefault="00000000">
      <w:pPr>
        <w:pStyle w:val="ListParagraph"/>
        <w:numPr>
          <w:ilvl w:val="0"/>
          <w:numId w:val="10"/>
        </w:numPr>
        <w:spacing w:after="0" w:line="240" w:lineRule="auto"/>
        <w:jc w:val="both"/>
        <w:rPr>
          <w:rFonts w:ascii="Times New Roman" w:hAnsi="Times New Roman"/>
        </w:rPr>
      </w:pPr>
      <w:r>
        <w:rPr>
          <w:rFonts w:ascii="Times New Roman" w:hAnsi="Times New Roman"/>
        </w:rPr>
        <w:t xml:space="preserve">Soil types: Classes of soil types were used as defined on </w:t>
      </w:r>
      <w:proofErr w:type="spellStart"/>
      <w:r>
        <w:rPr>
          <w:rFonts w:ascii="Times New Roman" w:hAnsi="Times New Roman"/>
        </w:rPr>
        <w:t>SoilGrid</w:t>
      </w:r>
      <w:proofErr w:type="spellEnd"/>
      <w:r>
        <w:rPr>
          <w:rFonts w:ascii="Times New Roman" w:hAnsi="Times New Roman"/>
        </w:rPr>
        <w:t xml:space="preserve"> platform (see Table 2 in supplementary material).</w:t>
      </w:r>
    </w:p>
    <w:p w14:paraId="7F29444D" w14:textId="77777777" w:rsidR="00BC2A6D" w:rsidRDefault="00000000">
      <w:pPr>
        <w:pStyle w:val="ListParagraph"/>
        <w:numPr>
          <w:ilvl w:val="0"/>
          <w:numId w:val="10"/>
        </w:numPr>
        <w:spacing w:after="0" w:line="240" w:lineRule="auto"/>
        <w:jc w:val="both"/>
        <w:rPr>
          <w:rFonts w:ascii="Times New Roman" w:hAnsi="Times New Roman"/>
        </w:rPr>
      </w:pPr>
      <w:r>
        <w:rPr>
          <w:rFonts w:ascii="Times New Roman" w:hAnsi="Times New Roman"/>
        </w:rPr>
        <w:t>Aridity: It was divided into five categories: Hyper-Arid (AI &lt; 0.05), arid (0.05 &lt; AI &lt; 0.2), semi-arid (0.2 &lt; AI &lt; 0.5), sub-humid (0.5 &lt; AI &lt; 0.65) and humid (AI &gt; 0.65)</w:t>
      </w:r>
      <w:r>
        <w:rPr>
          <w:rFonts w:ascii="Times New Roman" w:hAnsi="Times New Roman"/>
          <w:vertAlign w:val="superscript"/>
        </w:rPr>
        <w:t>54</w:t>
      </w:r>
      <w:r>
        <w:rPr>
          <w:rFonts w:ascii="Times New Roman" w:hAnsi="Times New Roman"/>
        </w:rPr>
        <w:t xml:space="preserve">. </w:t>
      </w:r>
    </w:p>
    <w:p w14:paraId="6D2E3196"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 xml:space="preserve">Growing degree days: Four classes were considered: unsuitable (GDD &lt; 800°C/y), suitable (800°C/y&lt; GDD &lt; 2700°C/y), heat Stress (2700°C/y&lt; GDD &lt; 4000°C/y), high heat Stress (4000°C/y&lt; GDD &lt; 6000°C/y), very high heat Stress 6000°C/y&lt; GDD &lt; 10 000°C/y) </w:t>
      </w:r>
      <w:r>
        <w:rPr>
          <w:rFonts w:ascii="Times New Roman" w:hAnsi="Times New Roman"/>
          <w:vertAlign w:val="superscript"/>
        </w:rPr>
        <w:t>73,74</w:t>
      </w:r>
      <w:r>
        <w:rPr>
          <w:rFonts w:ascii="Times New Roman" w:hAnsi="Times New Roman"/>
        </w:rPr>
        <w:t>, .</w:t>
      </w:r>
    </w:p>
    <w:p w14:paraId="20312BD3"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 xml:space="preserve">Elevation: The following elevation classes were considered: &lt; 250 m, 250 – 1000 m and &gt; 1000 m. </w:t>
      </w:r>
    </w:p>
    <w:p w14:paraId="196AF986"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Slope:  Five slope classes were defined</w:t>
      </w:r>
      <w:r>
        <w:rPr>
          <w:rFonts w:ascii="Times New Roman" w:hAnsi="Times New Roman"/>
          <w:vertAlign w:val="superscript"/>
        </w:rPr>
        <w:t>72</w:t>
      </w:r>
      <w:r>
        <w:rPr>
          <w:rFonts w:ascii="Times New Roman" w:hAnsi="Times New Roman"/>
        </w:rPr>
        <w:t>: &lt; 0.20%, 0.2-1%, 1-5%, 5-15%, and &gt; 15%.</w:t>
      </w:r>
    </w:p>
    <w:p w14:paraId="37F3422D" w14:textId="77777777" w:rsidR="00BC2A6D" w:rsidRDefault="00000000">
      <w:pPr>
        <w:pStyle w:val="ListParagraph"/>
        <w:numPr>
          <w:ilvl w:val="0"/>
          <w:numId w:val="9"/>
        </w:numPr>
        <w:spacing w:after="0" w:line="240" w:lineRule="auto"/>
        <w:jc w:val="both"/>
        <w:rPr>
          <w:rFonts w:ascii="Times New Roman" w:hAnsi="Times New Roman"/>
        </w:rPr>
      </w:pPr>
      <w:r>
        <w:rPr>
          <w:rFonts w:ascii="Times New Roman" w:hAnsi="Times New Roman"/>
        </w:rPr>
        <w:t xml:space="preserve">Landform: The initial 22 landform classes were reduced to 15 by grouping similar contour line classes (see Table 3 in supplementary material). </w:t>
      </w:r>
    </w:p>
    <w:p w14:paraId="0A3E908B" w14:textId="77777777" w:rsidR="00BC2A6D" w:rsidRDefault="00000000">
      <w:pPr>
        <w:pStyle w:val="ListParagraph"/>
        <w:tabs>
          <w:tab w:val="left" w:pos="720"/>
        </w:tabs>
        <w:spacing w:after="0" w:line="240" w:lineRule="auto"/>
        <w:jc w:val="both"/>
        <w:rPr>
          <w:rFonts w:ascii="Times New Roman" w:eastAsia="Times New Roman" w:hAnsi="Times New Roman" w:cs="Times New Roman"/>
        </w:rPr>
      </w:pPr>
      <w:r>
        <w:rPr>
          <w:rFonts w:ascii="Times New Roman" w:eastAsia="Times New Roman" w:hAnsi="Times New Roman" w:cs="Times New Roman"/>
        </w:rPr>
        <w:br/>
      </w:r>
      <w:commentRangeStart w:id="12"/>
    </w:p>
    <w:p w14:paraId="1D3BCFF5" w14:textId="77777777" w:rsidR="00BC2A6D" w:rsidRDefault="00000000">
      <w:pPr>
        <w:pStyle w:val="Body"/>
        <w:tabs>
          <w:tab w:val="left" w:pos="720"/>
        </w:tabs>
        <w:spacing w:after="0" w:line="240" w:lineRule="auto"/>
        <w:jc w:val="both"/>
        <w:rPr>
          <w:rFonts w:ascii="Times New Roman" w:hAnsi="Times New Roman"/>
        </w:rPr>
      </w:pPr>
      <w:r>
        <w:rPr>
          <w:rFonts w:ascii="Times New Roman" w:hAnsi="Times New Roman"/>
        </w:rPr>
        <w:t>Using bootstrapping with 1000 resamples of the mean response ratio, 95% confidence intervals were estimated for each category.</w:t>
      </w:r>
      <w:commentRangeEnd w:id="12"/>
      <w:r>
        <w:commentReference w:id="12"/>
      </w:r>
      <w:r>
        <w:rPr>
          <w:rFonts w:ascii="Times New Roman" w:hAnsi="Times New Roman"/>
        </w:rPr>
        <w:t xml:space="preserve"> Mean effect sizes (ES) were considered statistically significant when the 95% bootstrapped confidence interval (CI) did not include zero (</w:t>
      </w:r>
      <w:r>
        <w:rPr>
          <w:rFonts w:ascii="Times New Roman" w:hAnsi="Times New Roman"/>
          <w:i/>
          <w:iCs/>
        </w:rPr>
        <w:t>p</w:t>
      </w:r>
      <w:r>
        <w:rPr>
          <w:rFonts w:ascii="Times New Roman" w:hAnsi="Times New Roman"/>
        </w:rPr>
        <w:t xml:space="preserve"> &lt; 0.05). This criterion follows recent meta-analyses that applied bootstrap resampling to assess significance </w:t>
      </w:r>
      <w:r>
        <w:rPr>
          <w:rFonts w:ascii="Times New Roman" w:hAnsi="Times New Roman"/>
          <w:vertAlign w:val="superscript"/>
        </w:rPr>
        <w:t>11,75</w:t>
      </w:r>
      <w:r>
        <w:rPr>
          <w:rFonts w:ascii="Times New Roman" w:hAnsi="Times New Roman"/>
        </w:rPr>
        <w:t>.</w:t>
      </w:r>
    </w:p>
    <w:p w14:paraId="4CECBB54" w14:textId="77777777" w:rsidR="00661680" w:rsidRDefault="00661680">
      <w:pPr>
        <w:pStyle w:val="Body"/>
        <w:tabs>
          <w:tab w:val="left" w:pos="720"/>
        </w:tabs>
        <w:spacing w:after="0" w:line="240" w:lineRule="auto"/>
        <w:jc w:val="both"/>
        <w:rPr>
          <w:rFonts w:ascii="Times New Roman" w:hAnsi="Times New Roman"/>
        </w:rPr>
      </w:pPr>
    </w:p>
    <w:p w14:paraId="3BFAB5D3" w14:textId="77777777" w:rsidR="00661680" w:rsidRDefault="00661680">
      <w:pPr>
        <w:pStyle w:val="Body"/>
        <w:tabs>
          <w:tab w:val="left" w:pos="720"/>
        </w:tabs>
        <w:spacing w:after="0" w:line="240" w:lineRule="auto"/>
        <w:jc w:val="both"/>
        <w:rPr>
          <w:rFonts w:ascii="Times New Roman" w:eastAsia="Times New Roman" w:hAnsi="Times New Roman" w:cs="Times New Roman"/>
        </w:rPr>
      </w:pPr>
    </w:p>
    <w:p w14:paraId="609CB213" w14:textId="77777777" w:rsidR="00BC2A6D" w:rsidRDefault="00000000">
      <w:pPr>
        <w:pStyle w:val="Body"/>
        <w:keepNext/>
        <w:keepLines/>
        <w:tabs>
          <w:tab w:val="left" w:pos="720"/>
        </w:tabs>
        <w:spacing w:after="0" w:line="240" w:lineRule="auto"/>
        <w:jc w:val="both"/>
        <w:rPr>
          <w:rFonts w:ascii="Times New Roman" w:eastAsia="Times New Roman" w:hAnsi="Times New Roman" w:cs="Times New Roman"/>
        </w:rPr>
      </w:pPr>
      <w:r>
        <w:rPr>
          <w:rFonts w:ascii="Times New Roman" w:hAnsi="Times New Roman"/>
        </w:rPr>
        <w:t>Table 1: Environmental variables (in bracket are abbreviations)</w:t>
      </w:r>
    </w:p>
    <w:p w14:paraId="766875C4" w14:textId="77777777" w:rsidR="00BC2A6D" w:rsidRDefault="00BC2A6D">
      <w:pPr>
        <w:pStyle w:val="Body"/>
        <w:keepNext/>
        <w:keepLines/>
        <w:tabs>
          <w:tab w:val="left" w:pos="720"/>
        </w:tabs>
        <w:spacing w:after="0" w:line="240" w:lineRule="auto"/>
        <w:jc w:val="both"/>
        <w:rPr>
          <w:rFonts w:ascii="Times New Roman" w:eastAsia="Times New Roman" w:hAnsi="Times New Roman" w:cs="Times New Roman"/>
        </w:rPr>
      </w:pPr>
    </w:p>
    <w:tbl>
      <w:tblPr>
        <w:tblW w:w="828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60"/>
        <w:gridCol w:w="4593"/>
        <w:gridCol w:w="960"/>
        <w:gridCol w:w="1170"/>
      </w:tblGrid>
      <w:tr w:rsidR="00BC2A6D" w14:paraId="5CA4A3A7" w14:textId="77777777">
        <w:trPr>
          <w:trHeight w:val="241"/>
        </w:trPr>
        <w:tc>
          <w:tcPr>
            <w:tcW w:w="15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207ACB81" w14:textId="77777777" w:rsidR="00BC2A6D" w:rsidRDefault="00000000">
            <w:pPr>
              <w:pStyle w:val="Body"/>
              <w:spacing w:after="0" w:line="240" w:lineRule="auto"/>
            </w:pPr>
            <w:r>
              <w:rPr>
                <w:rFonts w:ascii="Times New Roman" w:hAnsi="Times New Roman"/>
                <w:kern w:val="0"/>
              </w:rPr>
              <w:t>Component</w:t>
            </w:r>
          </w:p>
        </w:tc>
        <w:tc>
          <w:tcPr>
            <w:tcW w:w="459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21DDCB8A" w14:textId="77777777" w:rsidR="00BC2A6D" w:rsidRDefault="00000000">
            <w:pPr>
              <w:pStyle w:val="Body"/>
              <w:spacing w:after="0" w:line="240" w:lineRule="auto"/>
            </w:pPr>
            <w:r>
              <w:rPr>
                <w:rFonts w:ascii="Times New Roman" w:hAnsi="Times New Roman"/>
                <w:kern w:val="0"/>
              </w:rPr>
              <w:t>Indicators</w:t>
            </w:r>
          </w:p>
        </w:tc>
        <w:tc>
          <w:tcPr>
            <w:tcW w:w="9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54D61F09" w14:textId="77777777" w:rsidR="00BC2A6D" w:rsidRDefault="00000000">
            <w:pPr>
              <w:pStyle w:val="Body"/>
              <w:spacing w:after="0" w:line="240" w:lineRule="auto"/>
            </w:pPr>
            <w:r>
              <w:rPr>
                <w:rFonts w:ascii="Times New Roman" w:hAnsi="Times New Roman"/>
                <w:kern w:val="0"/>
              </w:rPr>
              <w:t>Unit</w:t>
            </w:r>
          </w:p>
        </w:tc>
        <w:tc>
          <w:tcPr>
            <w:tcW w:w="117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3571750F" w14:textId="77777777" w:rsidR="00BC2A6D" w:rsidRDefault="00000000">
            <w:pPr>
              <w:pStyle w:val="Body"/>
              <w:spacing w:after="0" w:line="240" w:lineRule="auto"/>
            </w:pPr>
            <w:r>
              <w:rPr>
                <w:rFonts w:ascii="Times New Roman" w:hAnsi="Times New Roman"/>
                <w:kern w:val="0"/>
              </w:rPr>
              <w:t>Resolution</w:t>
            </w:r>
          </w:p>
        </w:tc>
      </w:tr>
      <w:tr w:rsidR="00BC2A6D" w14:paraId="0547DA5C" w14:textId="77777777">
        <w:trPr>
          <w:trHeight w:val="246"/>
        </w:trPr>
        <w:tc>
          <w:tcPr>
            <w:tcW w:w="156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33272A64" w14:textId="77777777" w:rsidR="00BC2A6D" w:rsidRDefault="00000000">
            <w:pPr>
              <w:pStyle w:val="Body"/>
              <w:spacing w:after="0" w:line="240" w:lineRule="auto"/>
            </w:pPr>
            <w:r>
              <w:rPr>
                <w:rFonts w:ascii="Times New Roman" w:hAnsi="Times New Roman"/>
                <w:kern w:val="0"/>
              </w:rPr>
              <w:t xml:space="preserve">Climate </w:t>
            </w:r>
          </w:p>
        </w:tc>
        <w:tc>
          <w:tcPr>
            <w:tcW w:w="4593"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0920750" w14:textId="77777777" w:rsidR="00BC2A6D" w:rsidRDefault="00000000">
            <w:pPr>
              <w:pStyle w:val="Body"/>
              <w:spacing w:after="0" w:line="240" w:lineRule="auto"/>
            </w:pPr>
            <w:r>
              <w:rPr>
                <w:rFonts w:ascii="Times New Roman" w:hAnsi="Times New Roman"/>
                <w:kern w:val="0"/>
              </w:rPr>
              <w:t>Growing degree days for maize (</w:t>
            </w:r>
            <w:proofErr w:type="spellStart"/>
            <w:r>
              <w:rPr>
                <w:rFonts w:ascii="Times New Roman" w:hAnsi="Times New Roman"/>
                <w:kern w:val="0"/>
              </w:rPr>
              <w:t>GDD_maize</w:t>
            </w:r>
            <w:proofErr w:type="spellEnd"/>
            <w:r>
              <w:rPr>
                <w:rFonts w:ascii="Times New Roman" w:hAnsi="Times New Roman"/>
                <w:kern w:val="0"/>
              </w:rPr>
              <w:t>)</w:t>
            </w:r>
          </w:p>
        </w:tc>
        <w:tc>
          <w:tcPr>
            <w:tcW w:w="96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D2F3863" w14:textId="77777777" w:rsidR="00BC2A6D" w:rsidRDefault="00000000">
            <w:pPr>
              <w:pStyle w:val="Body"/>
              <w:spacing w:after="0" w:line="240" w:lineRule="auto"/>
            </w:pPr>
            <w:r>
              <w:rPr>
                <w:rFonts w:ascii="Times New Roman" w:hAnsi="Times New Roman"/>
                <w:kern w:val="0"/>
              </w:rPr>
              <w:t>°C</w:t>
            </w:r>
          </w:p>
        </w:tc>
        <w:tc>
          <w:tcPr>
            <w:tcW w:w="117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793343E" w14:textId="77777777" w:rsidR="00BC2A6D" w:rsidRDefault="00000000">
            <w:pPr>
              <w:pStyle w:val="Body"/>
              <w:spacing w:after="0" w:line="240" w:lineRule="auto"/>
            </w:pPr>
            <w:r>
              <w:rPr>
                <w:rFonts w:ascii="Times New Roman" w:hAnsi="Times New Roman"/>
                <w:kern w:val="0"/>
              </w:rPr>
              <w:t>0.0083°</w:t>
            </w:r>
          </w:p>
        </w:tc>
      </w:tr>
      <w:tr w:rsidR="00BC2A6D" w14:paraId="4E21868C"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3090B8DD"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3B10CE07" w14:textId="77777777" w:rsidR="00BC2A6D" w:rsidRDefault="00000000">
            <w:pPr>
              <w:pStyle w:val="Body"/>
              <w:spacing w:after="0" w:line="240" w:lineRule="auto"/>
            </w:pPr>
            <w:r>
              <w:rPr>
                <w:rFonts w:ascii="Times New Roman" w:hAnsi="Times New Roman"/>
                <w:kern w:val="0"/>
              </w:rPr>
              <w:t>Growing degree days for wheat (</w:t>
            </w:r>
            <w:proofErr w:type="spellStart"/>
            <w:r>
              <w:rPr>
                <w:rFonts w:ascii="Times New Roman" w:hAnsi="Times New Roman"/>
                <w:kern w:val="0"/>
              </w:rPr>
              <w:t>GDD_wheat</w:t>
            </w:r>
            <w:proofErr w:type="spellEnd"/>
            <w:r>
              <w:rPr>
                <w:rFonts w:ascii="Times New Roman" w:hAnsi="Times New Roman"/>
                <w:kern w:val="0"/>
              </w:rPr>
              <w:t>)</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0EBCB0EC" w14:textId="77777777" w:rsidR="00BC2A6D" w:rsidRDefault="00000000">
            <w:pPr>
              <w:pStyle w:val="Body"/>
              <w:spacing w:after="0" w:line="240" w:lineRule="auto"/>
            </w:pPr>
            <w:r>
              <w:rPr>
                <w:rFonts w:ascii="Times New Roman" w:hAnsi="Times New Roman"/>
                <w:kern w:val="0"/>
              </w:rPr>
              <w:t>°C</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77DC010F" w14:textId="77777777" w:rsidR="00BC2A6D" w:rsidRDefault="00000000">
            <w:pPr>
              <w:pStyle w:val="Body"/>
              <w:spacing w:after="0" w:line="240" w:lineRule="auto"/>
            </w:pPr>
            <w:r>
              <w:rPr>
                <w:rFonts w:ascii="Times New Roman" w:hAnsi="Times New Roman"/>
                <w:kern w:val="0"/>
              </w:rPr>
              <w:t>0.0083°</w:t>
            </w:r>
          </w:p>
        </w:tc>
      </w:tr>
      <w:tr w:rsidR="00BC2A6D" w14:paraId="30BC59FE"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77338A7D"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0F54D141" w14:textId="77777777" w:rsidR="00BC2A6D" w:rsidRDefault="00000000">
            <w:pPr>
              <w:pStyle w:val="Body"/>
              <w:spacing w:after="0" w:line="240" w:lineRule="auto"/>
            </w:pPr>
            <w:r>
              <w:rPr>
                <w:rFonts w:ascii="Times New Roman" w:hAnsi="Times New Roman"/>
                <w:kern w:val="0"/>
              </w:rPr>
              <w:t>Growing degree days for rice (</w:t>
            </w:r>
            <w:proofErr w:type="spellStart"/>
            <w:r>
              <w:rPr>
                <w:rFonts w:ascii="Times New Roman" w:hAnsi="Times New Roman"/>
                <w:kern w:val="0"/>
              </w:rPr>
              <w:t>GDD_rice</w:t>
            </w:r>
            <w:proofErr w:type="spellEnd"/>
            <w:r>
              <w:rPr>
                <w:rFonts w:ascii="Times New Roman" w:hAnsi="Times New Roman"/>
                <w:kern w:val="0"/>
              </w:rPr>
              <w:t>)</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43EC5732" w14:textId="77777777" w:rsidR="00BC2A6D" w:rsidRDefault="00000000">
            <w:pPr>
              <w:pStyle w:val="Body"/>
              <w:spacing w:after="0" w:line="240" w:lineRule="auto"/>
            </w:pPr>
            <w:r>
              <w:rPr>
                <w:rFonts w:ascii="Times New Roman" w:hAnsi="Times New Roman"/>
                <w:kern w:val="0"/>
              </w:rPr>
              <w:t>°C</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5CD9F5ED" w14:textId="77777777" w:rsidR="00BC2A6D" w:rsidRDefault="00000000">
            <w:pPr>
              <w:pStyle w:val="Body"/>
              <w:spacing w:after="0" w:line="240" w:lineRule="auto"/>
            </w:pPr>
            <w:r>
              <w:rPr>
                <w:rFonts w:ascii="Times New Roman" w:hAnsi="Times New Roman"/>
                <w:kern w:val="0"/>
              </w:rPr>
              <w:t>0.0083°</w:t>
            </w:r>
          </w:p>
        </w:tc>
      </w:tr>
      <w:tr w:rsidR="00BC2A6D" w14:paraId="1E3AD95F" w14:textId="77777777">
        <w:trPr>
          <w:trHeight w:val="49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44D53765"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42BAFA87" w14:textId="77777777" w:rsidR="00BC2A6D" w:rsidRDefault="00000000">
            <w:pPr>
              <w:pStyle w:val="Body"/>
              <w:spacing w:after="0" w:line="240" w:lineRule="auto"/>
            </w:pPr>
            <w:r>
              <w:rPr>
                <w:rFonts w:ascii="Times New Roman" w:hAnsi="Times New Roman"/>
                <w:kern w:val="0"/>
              </w:rPr>
              <w:t>Growing degree days for soybean (</w:t>
            </w:r>
            <w:proofErr w:type="spellStart"/>
            <w:r>
              <w:rPr>
                <w:rFonts w:ascii="Times New Roman" w:hAnsi="Times New Roman"/>
                <w:kern w:val="0"/>
              </w:rPr>
              <w:t>GDD_soybean</w:t>
            </w:r>
            <w:proofErr w:type="spellEnd"/>
            <w:r>
              <w:rPr>
                <w:rFonts w:ascii="Times New Roman" w:hAnsi="Times New Roman"/>
                <w:kern w:val="0"/>
              </w:rPr>
              <w:t>)</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1A29E8E8" w14:textId="77777777" w:rsidR="00BC2A6D" w:rsidRDefault="00000000">
            <w:pPr>
              <w:pStyle w:val="Body"/>
              <w:spacing w:after="0" w:line="240" w:lineRule="auto"/>
            </w:pPr>
            <w:r>
              <w:rPr>
                <w:rFonts w:ascii="Times New Roman" w:hAnsi="Times New Roman"/>
                <w:kern w:val="0"/>
              </w:rPr>
              <w:t>°C</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54D8DA48" w14:textId="77777777" w:rsidR="00BC2A6D" w:rsidRDefault="00000000">
            <w:pPr>
              <w:pStyle w:val="Body"/>
              <w:spacing w:after="0" w:line="240" w:lineRule="auto"/>
            </w:pPr>
            <w:r>
              <w:rPr>
                <w:rFonts w:ascii="Times New Roman" w:hAnsi="Times New Roman"/>
                <w:kern w:val="0"/>
              </w:rPr>
              <w:t>0.0083°</w:t>
            </w:r>
          </w:p>
        </w:tc>
      </w:tr>
      <w:tr w:rsidR="00BC2A6D" w14:paraId="7B4718DE"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52B1C37D"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08A5722C" w14:textId="77777777" w:rsidR="00BC2A6D" w:rsidRDefault="00000000">
            <w:pPr>
              <w:pStyle w:val="Body"/>
              <w:spacing w:after="0" w:line="240" w:lineRule="auto"/>
            </w:pPr>
            <w:r>
              <w:rPr>
                <w:rFonts w:ascii="Times New Roman" w:hAnsi="Times New Roman"/>
                <w:kern w:val="0"/>
              </w:rPr>
              <w:t>Aridity index (aridity)</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4E19BAB4" w14:textId="77777777" w:rsidR="00BC2A6D" w:rsidRDefault="00BC2A6D"/>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4C1C787C" w14:textId="77777777" w:rsidR="00BC2A6D" w:rsidRDefault="00000000">
            <w:pPr>
              <w:pStyle w:val="Body"/>
              <w:spacing w:after="0" w:line="240" w:lineRule="auto"/>
            </w:pPr>
            <w:r>
              <w:rPr>
                <w:rFonts w:ascii="Times New Roman" w:hAnsi="Times New Roman"/>
                <w:kern w:val="0"/>
              </w:rPr>
              <w:t>0.0083°</w:t>
            </w:r>
          </w:p>
        </w:tc>
      </w:tr>
      <w:tr w:rsidR="00BC2A6D" w14:paraId="4D33CD00"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7191E519" w14:textId="77777777" w:rsidR="00BC2A6D" w:rsidRDefault="00000000">
            <w:pPr>
              <w:pStyle w:val="Body"/>
              <w:spacing w:after="0" w:line="240" w:lineRule="auto"/>
            </w:pPr>
            <w:r>
              <w:rPr>
                <w:rFonts w:ascii="Times New Roman" w:hAnsi="Times New Roman"/>
                <w:kern w:val="0"/>
              </w:rPr>
              <w:t>Soil properties</w:t>
            </w:r>
          </w:p>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050ED204" w14:textId="77777777" w:rsidR="00BC2A6D" w:rsidRDefault="00000000">
            <w:pPr>
              <w:pStyle w:val="Body"/>
              <w:spacing w:after="0" w:line="240" w:lineRule="auto"/>
            </w:pPr>
            <w:r>
              <w:rPr>
                <w:rFonts w:ascii="Times New Roman" w:hAnsi="Times New Roman"/>
                <w:kern w:val="0"/>
              </w:rPr>
              <w:t>Soil texture</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249BA684" w14:textId="77777777" w:rsidR="00BC2A6D" w:rsidRDefault="00000000">
            <w:pPr>
              <w:pStyle w:val="Body"/>
              <w:spacing w:after="0" w:line="240" w:lineRule="auto"/>
            </w:pPr>
            <w:r>
              <w:rPr>
                <w:rFonts w:ascii="Times New Roman" w:hAnsi="Times New Roman"/>
                <w:kern w:val="0"/>
              </w:rPr>
              <w:t>%</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024FDF3D" w14:textId="77777777" w:rsidR="00BC2A6D" w:rsidRDefault="00000000">
            <w:pPr>
              <w:pStyle w:val="Body"/>
              <w:spacing w:after="0" w:line="240" w:lineRule="auto"/>
            </w:pPr>
            <w:r>
              <w:rPr>
                <w:rFonts w:ascii="Times New Roman" w:hAnsi="Times New Roman"/>
                <w:kern w:val="0"/>
              </w:rPr>
              <w:t>250 m</w:t>
            </w:r>
          </w:p>
        </w:tc>
      </w:tr>
      <w:tr w:rsidR="00BC2A6D" w14:paraId="6487AF2F"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574C486D"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24835CC2" w14:textId="77777777" w:rsidR="00BC2A6D" w:rsidRDefault="00000000">
            <w:pPr>
              <w:pStyle w:val="Body"/>
              <w:spacing w:after="0" w:line="240" w:lineRule="auto"/>
            </w:pPr>
            <w:r>
              <w:rPr>
                <w:rFonts w:ascii="Times New Roman" w:hAnsi="Times New Roman"/>
                <w:kern w:val="0"/>
              </w:rPr>
              <w:t>pH</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5E8A4C2D" w14:textId="77777777" w:rsidR="00BC2A6D" w:rsidRDefault="00BC2A6D"/>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7A99420C" w14:textId="77777777" w:rsidR="00BC2A6D" w:rsidRDefault="00000000">
            <w:pPr>
              <w:pStyle w:val="Body"/>
              <w:spacing w:after="0" w:line="240" w:lineRule="auto"/>
            </w:pPr>
            <w:r>
              <w:rPr>
                <w:rFonts w:ascii="Times New Roman" w:hAnsi="Times New Roman"/>
                <w:kern w:val="0"/>
              </w:rPr>
              <w:t>250 m</w:t>
            </w:r>
          </w:p>
        </w:tc>
      </w:tr>
      <w:tr w:rsidR="00BC2A6D" w14:paraId="74BFD4E0" w14:textId="77777777">
        <w:trPr>
          <w:trHeight w:val="28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44587C69"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11A995EC" w14:textId="77777777" w:rsidR="00BC2A6D" w:rsidRDefault="00000000">
            <w:pPr>
              <w:pStyle w:val="Body"/>
              <w:spacing w:after="0" w:line="240" w:lineRule="auto"/>
            </w:pPr>
            <w:r>
              <w:rPr>
                <w:rFonts w:ascii="Times New Roman" w:hAnsi="Times New Roman"/>
                <w:kern w:val="0"/>
              </w:rPr>
              <w:t>soil organic carbon (SOC)</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31E9470B" w14:textId="77777777" w:rsidR="00BC2A6D" w:rsidRDefault="00000000">
            <w:pPr>
              <w:pStyle w:val="Body"/>
              <w:spacing w:after="0" w:line="240" w:lineRule="auto"/>
            </w:pPr>
            <w:r>
              <w:rPr>
                <w:rFonts w:ascii="Times New Roman" w:hAnsi="Times New Roman"/>
                <w:kern w:val="0"/>
              </w:rPr>
              <w:t>g kg</w:t>
            </w:r>
            <w:r>
              <w:rPr>
                <w:rFonts w:ascii="Arial Unicode MS" w:hAnsi="Arial Unicode MS"/>
                <w:kern w:val="0"/>
              </w:rPr>
              <w:t>⁻</w:t>
            </w:r>
            <w:r>
              <w:rPr>
                <w:rFonts w:ascii="Times New Roman" w:hAnsi="Times New Roman"/>
                <w:kern w:val="0"/>
              </w:rPr>
              <w:t>¹</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5D572F56" w14:textId="77777777" w:rsidR="00BC2A6D" w:rsidRDefault="00000000">
            <w:pPr>
              <w:pStyle w:val="Body"/>
              <w:spacing w:after="0" w:line="240" w:lineRule="auto"/>
            </w:pPr>
            <w:r>
              <w:rPr>
                <w:rFonts w:ascii="Times New Roman" w:hAnsi="Times New Roman"/>
                <w:kern w:val="0"/>
              </w:rPr>
              <w:t>250 m</w:t>
            </w:r>
          </w:p>
        </w:tc>
      </w:tr>
      <w:tr w:rsidR="00BC2A6D" w14:paraId="2174C8C2" w14:textId="77777777">
        <w:trPr>
          <w:trHeight w:val="49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7E567F05"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5753E783" w14:textId="77777777" w:rsidR="00BC2A6D" w:rsidRPr="009800E7" w:rsidRDefault="00000000">
            <w:pPr>
              <w:pStyle w:val="Body"/>
              <w:spacing w:after="0" w:line="240" w:lineRule="auto"/>
              <w:rPr>
                <w:lang w:val="fr-FR"/>
              </w:rPr>
            </w:pPr>
            <w:proofErr w:type="spellStart"/>
            <w:r>
              <w:rPr>
                <w:rFonts w:ascii="Times New Roman" w:hAnsi="Times New Roman"/>
                <w:kern w:val="0"/>
                <w:lang w:val="fr-FR"/>
              </w:rPr>
              <w:t>Soil</w:t>
            </w:r>
            <w:proofErr w:type="spellEnd"/>
            <w:r>
              <w:rPr>
                <w:rFonts w:ascii="Times New Roman" w:hAnsi="Times New Roman"/>
                <w:kern w:val="0"/>
                <w:lang w:val="fr-FR"/>
              </w:rPr>
              <w:t xml:space="preserve"> Olsen </w:t>
            </w:r>
            <w:proofErr w:type="spellStart"/>
            <w:r>
              <w:rPr>
                <w:rFonts w:ascii="Times New Roman" w:hAnsi="Times New Roman"/>
                <w:kern w:val="0"/>
                <w:lang w:val="fr-FR"/>
              </w:rPr>
              <w:t>phosphorus</w:t>
            </w:r>
            <w:proofErr w:type="spellEnd"/>
            <w:r>
              <w:rPr>
                <w:rFonts w:ascii="Times New Roman" w:hAnsi="Times New Roman"/>
                <w:kern w:val="0"/>
                <w:lang w:val="fr-FR"/>
              </w:rPr>
              <w:t xml:space="preserve"> concentrations (</w:t>
            </w:r>
            <w:proofErr w:type="spellStart"/>
            <w:r>
              <w:rPr>
                <w:rFonts w:ascii="Times New Roman" w:hAnsi="Times New Roman"/>
                <w:kern w:val="0"/>
                <w:lang w:val="fr-FR"/>
              </w:rPr>
              <w:t>phosphorus</w:t>
            </w:r>
            <w:proofErr w:type="spellEnd"/>
            <w:r>
              <w:rPr>
                <w:rFonts w:ascii="Times New Roman" w:hAnsi="Times New Roman"/>
                <w:kern w:val="0"/>
                <w:lang w:val="fr-FR"/>
              </w:rPr>
              <w:t>)</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48E580CE" w14:textId="77777777" w:rsidR="00BC2A6D" w:rsidRDefault="00000000">
            <w:pPr>
              <w:pStyle w:val="Body"/>
              <w:spacing w:after="0" w:line="240" w:lineRule="auto"/>
            </w:pPr>
            <w:r>
              <w:rPr>
                <w:rFonts w:ascii="Times New Roman" w:hAnsi="Times New Roman"/>
                <w:kern w:val="0"/>
              </w:rPr>
              <w:t>mg kg</w:t>
            </w:r>
            <w:r>
              <w:rPr>
                <w:rFonts w:ascii="Arial Unicode MS" w:hAnsi="Arial Unicode MS"/>
                <w:kern w:val="0"/>
              </w:rPr>
              <w:t>⁻</w:t>
            </w:r>
            <w:r>
              <w:rPr>
                <w:rFonts w:ascii="Times New Roman" w:hAnsi="Times New Roman"/>
                <w:kern w:val="0"/>
              </w:rPr>
              <w:t>¹</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278B2E1D" w14:textId="77777777" w:rsidR="00BC2A6D" w:rsidRDefault="00000000">
            <w:pPr>
              <w:pStyle w:val="Body"/>
              <w:spacing w:after="0" w:line="240" w:lineRule="auto"/>
            </w:pPr>
            <w:r>
              <w:rPr>
                <w:rFonts w:ascii="Times New Roman" w:hAnsi="Times New Roman"/>
                <w:kern w:val="0"/>
              </w:rPr>
              <w:t>1000 m</w:t>
            </w:r>
          </w:p>
        </w:tc>
      </w:tr>
      <w:tr w:rsidR="00BC2A6D" w14:paraId="29EB4B5D" w14:textId="77777777">
        <w:trPr>
          <w:trHeight w:val="28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18467320"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61BB5263" w14:textId="77777777" w:rsidR="00BC2A6D" w:rsidRDefault="00000000">
            <w:pPr>
              <w:pStyle w:val="Body"/>
              <w:spacing w:after="0" w:line="240" w:lineRule="auto"/>
            </w:pPr>
            <w:r>
              <w:rPr>
                <w:rFonts w:ascii="Times New Roman" w:hAnsi="Times New Roman"/>
                <w:kern w:val="0"/>
              </w:rPr>
              <w:t>Bulk density (bd)</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6A548FE8" w14:textId="77777777" w:rsidR="00BC2A6D" w:rsidRDefault="00000000">
            <w:pPr>
              <w:pStyle w:val="Body"/>
              <w:spacing w:after="0" w:line="240" w:lineRule="auto"/>
            </w:pPr>
            <w:r>
              <w:rPr>
                <w:rFonts w:ascii="Times New Roman" w:hAnsi="Times New Roman"/>
                <w:kern w:val="0"/>
              </w:rPr>
              <w:t>g cm</w:t>
            </w:r>
            <w:r>
              <w:rPr>
                <w:rFonts w:ascii="Arial Unicode MS" w:hAnsi="Arial Unicode MS"/>
                <w:kern w:val="0"/>
              </w:rPr>
              <w:t>⁻</w:t>
            </w:r>
            <w:r>
              <w:rPr>
                <w:rFonts w:ascii="Times New Roman" w:hAnsi="Times New Roman"/>
                <w:kern w:val="0"/>
              </w:rPr>
              <w:t>³</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49219F5B" w14:textId="77777777" w:rsidR="00BC2A6D" w:rsidRDefault="00000000">
            <w:pPr>
              <w:pStyle w:val="Body"/>
              <w:spacing w:after="0" w:line="240" w:lineRule="auto"/>
            </w:pPr>
            <w:r>
              <w:rPr>
                <w:rFonts w:ascii="Times New Roman" w:hAnsi="Times New Roman"/>
                <w:kern w:val="0"/>
              </w:rPr>
              <w:t>250 m</w:t>
            </w:r>
          </w:p>
        </w:tc>
      </w:tr>
      <w:tr w:rsidR="00BC2A6D" w14:paraId="08851002"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42B6F871"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0065CFBC" w14:textId="77777777" w:rsidR="00BC2A6D" w:rsidRDefault="00000000">
            <w:pPr>
              <w:pStyle w:val="Body"/>
              <w:spacing w:after="0" w:line="240" w:lineRule="auto"/>
            </w:pPr>
            <w:r>
              <w:rPr>
                <w:rFonts w:ascii="Times New Roman" w:hAnsi="Times New Roman"/>
                <w:kern w:val="0"/>
              </w:rPr>
              <w:t>Soil type</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5CDF1A1D" w14:textId="77777777" w:rsidR="00BC2A6D" w:rsidRDefault="00BC2A6D"/>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75F9BAED" w14:textId="77777777" w:rsidR="00BC2A6D" w:rsidRDefault="00000000">
            <w:pPr>
              <w:pStyle w:val="Body"/>
              <w:spacing w:after="0" w:line="240" w:lineRule="auto"/>
            </w:pPr>
            <w:r>
              <w:rPr>
                <w:rFonts w:ascii="Times New Roman" w:hAnsi="Times New Roman"/>
                <w:kern w:val="0"/>
              </w:rPr>
              <w:t>250 m</w:t>
            </w:r>
          </w:p>
        </w:tc>
      </w:tr>
      <w:tr w:rsidR="00BC2A6D" w14:paraId="53E7DD4C"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73C3E494" w14:textId="77777777" w:rsidR="00BC2A6D" w:rsidRDefault="00000000">
            <w:pPr>
              <w:pStyle w:val="Body"/>
              <w:spacing w:after="0" w:line="240" w:lineRule="auto"/>
            </w:pPr>
            <w:r>
              <w:rPr>
                <w:rFonts w:ascii="Times New Roman" w:hAnsi="Times New Roman"/>
                <w:kern w:val="0"/>
              </w:rPr>
              <w:t>Topography</w:t>
            </w:r>
          </w:p>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3D250963" w14:textId="77777777" w:rsidR="00BC2A6D" w:rsidRDefault="00000000">
            <w:pPr>
              <w:pStyle w:val="Body"/>
              <w:spacing w:after="0" w:line="240" w:lineRule="auto"/>
            </w:pPr>
            <w:r>
              <w:rPr>
                <w:rFonts w:ascii="Times New Roman" w:hAnsi="Times New Roman"/>
                <w:kern w:val="0"/>
              </w:rPr>
              <w:t>Slope</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50E5EC1D" w14:textId="77777777" w:rsidR="00BC2A6D" w:rsidRDefault="00000000">
            <w:pPr>
              <w:pStyle w:val="Body"/>
              <w:spacing w:after="0" w:line="240" w:lineRule="auto"/>
            </w:pPr>
            <w:r>
              <w:rPr>
                <w:rFonts w:ascii="Times New Roman" w:hAnsi="Times New Roman"/>
                <w:kern w:val="0"/>
              </w:rPr>
              <w:t>%</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1F9FE383" w14:textId="77777777" w:rsidR="00BC2A6D" w:rsidRDefault="00000000">
            <w:pPr>
              <w:pStyle w:val="Body"/>
              <w:spacing w:after="0" w:line="240" w:lineRule="auto"/>
            </w:pPr>
            <w:r>
              <w:rPr>
                <w:rFonts w:ascii="Times New Roman" w:hAnsi="Times New Roman"/>
                <w:kern w:val="0"/>
              </w:rPr>
              <w:t>0.0083°</w:t>
            </w:r>
          </w:p>
        </w:tc>
      </w:tr>
      <w:tr w:rsidR="00BC2A6D" w14:paraId="56F79E61" w14:textId="77777777">
        <w:trPr>
          <w:trHeight w:val="251"/>
        </w:trPr>
        <w:tc>
          <w:tcPr>
            <w:tcW w:w="1560" w:type="dxa"/>
            <w:tcBorders>
              <w:top w:val="nil"/>
              <w:left w:val="nil"/>
              <w:bottom w:val="nil"/>
              <w:right w:val="nil"/>
            </w:tcBorders>
            <w:shd w:val="clear" w:color="auto" w:fill="auto"/>
            <w:tcMar>
              <w:top w:w="80" w:type="dxa"/>
              <w:left w:w="80" w:type="dxa"/>
              <w:bottom w:w="80" w:type="dxa"/>
              <w:right w:w="80" w:type="dxa"/>
            </w:tcMar>
            <w:vAlign w:val="bottom"/>
          </w:tcPr>
          <w:p w14:paraId="01219C1B" w14:textId="77777777" w:rsidR="00BC2A6D" w:rsidRDefault="00BC2A6D"/>
        </w:tc>
        <w:tc>
          <w:tcPr>
            <w:tcW w:w="4593" w:type="dxa"/>
            <w:tcBorders>
              <w:top w:val="nil"/>
              <w:left w:val="nil"/>
              <w:bottom w:val="nil"/>
              <w:right w:val="nil"/>
            </w:tcBorders>
            <w:shd w:val="clear" w:color="auto" w:fill="auto"/>
            <w:tcMar>
              <w:top w:w="80" w:type="dxa"/>
              <w:left w:w="80" w:type="dxa"/>
              <w:bottom w:w="80" w:type="dxa"/>
              <w:right w:w="80" w:type="dxa"/>
            </w:tcMar>
            <w:vAlign w:val="bottom"/>
          </w:tcPr>
          <w:p w14:paraId="016E7614" w14:textId="77777777" w:rsidR="00BC2A6D" w:rsidRDefault="00000000">
            <w:pPr>
              <w:pStyle w:val="Body"/>
              <w:spacing w:after="0" w:line="240" w:lineRule="auto"/>
            </w:pPr>
            <w:r>
              <w:rPr>
                <w:rFonts w:ascii="Times New Roman" w:hAnsi="Times New Roman"/>
                <w:kern w:val="0"/>
              </w:rPr>
              <w:t>Digital elevation model (dem)</w:t>
            </w:r>
          </w:p>
        </w:tc>
        <w:tc>
          <w:tcPr>
            <w:tcW w:w="960" w:type="dxa"/>
            <w:tcBorders>
              <w:top w:val="nil"/>
              <w:left w:val="nil"/>
              <w:bottom w:val="nil"/>
              <w:right w:val="nil"/>
            </w:tcBorders>
            <w:shd w:val="clear" w:color="auto" w:fill="auto"/>
            <w:tcMar>
              <w:top w:w="80" w:type="dxa"/>
              <w:left w:w="80" w:type="dxa"/>
              <w:bottom w:w="80" w:type="dxa"/>
              <w:right w:w="80" w:type="dxa"/>
            </w:tcMar>
            <w:vAlign w:val="bottom"/>
          </w:tcPr>
          <w:p w14:paraId="05B48E93" w14:textId="77777777" w:rsidR="00BC2A6D" w:rsidRDefault="00000000">
            <w:pPr>
              <w:pStyle w:val="Body"/>
              <w:spacing w:after="0" w:line="240" w:lineRule="auto"/>
            </w:pPr>
            <w:r>
              <w:rPr>
                <w:rFonts w:ascii="Times New Roman" w:hAnsi="Times New Roman"/>
                <w:kern w:val="0"/>
              </w:rPr>
              <w:t>m</w:t>
            </w:r>
          </w:p>
        </w:tc>
        <w:tc>
          <w:tcPr>
            <w:tcW w:w="1170" w:type="dxa"/>
            <w:tcBorders>
              <w:top w:val="nil"/>
              <w:left w:val="nil"/>
              <w:bottom w:val="nil"/>
              <w:right w:val="nil"/>
            </w:tcBorders>
            <w:shd w:val="clear" w:color="auto" w:fill="auto"/>
            <w:tcMar>
              <w:top w:w="80" w:type="dxa"/>
              <w:left w:w="80" w:type="dxa"/>
              <w:bottom w:w="80" w:type="dxa"/>
              <w:right w:w="80" w:type="dxa"/>
            </w:tcMar>
            <w:vAlign w:val="bottom"/>
          </w:tcPr>
          <w:p w14:paraId="7ACE49F1" w14:textId="77777777" w:rsidR="00BC2A6D" w:rsidRDefault="00000000">
            <w:pPr>
              <w:pStyle w:val="Body"/>
              <w:spacing w:after="0" w:line="240" w:lineRule="auto"/>
            </w:pPr>
            <w:r>
              <w:rPr>
                <w:rFonts w:ascii="Times New Roman" w:hAnsi="Times New Roman"/>
                <w:kern w:val="0"/>
              </w:rPr>
              <w:t>0.0083°</w:t>
            </w:r>
          </w:p>
        </w:tc>
      </w:tr>
      <w:tr w:rsidR="00BC2A6D" w14:paraId="26E38F4C" w14:textId="77777777">
        <w:trPr>
          <w:trHeight w:val="246"/>
        </w:trPr>
        <w:tc>
          <w:tcPr>
            <w:tcW w:w="156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483CB79" w14:textId="77777777" w:rsidR="00BC2A6D" w:rsidRDefault="00BC2A6D"/>
        </w:tc>
        <w:tc>
          <w:tcPr>
            <w:tcW w:w="5553" w:type="dxa"/>
            <w:gridSpan w:val="2"/>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F21D1CC" w14:textId="77777777" w:rsidR="00BC2A6D" w:rsidRDefault="00000000">
            <w:pPr>
              <w:pStyle w:val="Body"/>
              <w:spacing w:after="0" w:line="240" w:lineRule="auto"/>
            </w:pPr>
            <w:proofErr w:type="spellStart"/>
            <w:r>
              <w:rPr>
                <w:rFonts w:ascii="Times New Roman" w:hAnsi="Times New Roman"/>
                <w:kern w:val="0"/>
              </w:rPr>
              <w:t>Geormorphological</w:t>
            </w:r>
            <w:proofErr w:type="spellEnd"/>
            <w:r>
              <w:rPr>
                <w:rFonts w:ascii="Times New Roman" w:hAnsi="Times New Roman"/>
                <w:kern w:val="0"/>
              </w:rPr>
              <w:t xml:space="preserve"> landform </w:t>
            </w:r>
          </w:p>
        </w:tc>
        <w:tc>
          <w:tcPr>
            <w:tcW w:w="117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F7A6E3A" w14:textId="77777777" w:rsidR="00BC2A6D" w:rsidRDefault="00000000">
            <w:pPr>
              <w:pStyle w:val="Body"/>
              <w:spacing w:after="0" w:line="240" w:lineRule="auto"/>
            </w:pPr>
            <w:r>
              <w:rPr>
                <w:rFonts w:ascii="Times New Roman" w:hAnsi="Times New Roman"/>
                <w:kern w:val="0"/>
              </w:rPr>
              <w:t>0.0083°</w:t>
            </w:r>
          </w:p>
        </w:tc>
      </w:tr>
    </w:tbl>
    <w:p w14:paraId="02FD237D" w14:textId="77777777" w:rsidR="00BC2A6D" w:rsidRDefault="00BC2A6D">
      <w:pPr>
        <w:pStyle w:val="Body"/>
        <w:keepNext/>
        <w:keepLines/>
        <w:widowControl w:val="0"/>
        <w:tabs>
          <w:tab w:val="left" w:pos="720"/>
        </w:tabs>
        <w:spacing w:after="0" w:line="240" w:lineRule="auto"/>
        <w:jc w:val="both"/>
        <w:rPr>
          <w:rFonts w:ascii="Times New Roman" w:eastAsia="Times New Roman" w:hAnsi="Times New Roman" w:cs="Times New Roman"/>
        </w:rPr>
      </w:pPr>
    </w:p>
    <w:p w14:paraId="444733D3"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7A9BEF15" w14:textId="77777777" w:rsidR="00BC2A6D" w:rsidRDefault="00000000">
      <w:pPr>
        <w:pStyle w:val="ListParagraph"/>
        <w:widowControl w:val="0"/>
        <w:numPr>
          <w:ilvl w:val="1"/>
          <w:numId w:val="11"/>
        </w:numPr>
        <w:spacing w:after="0" w:line="260" w:lineRule="exact"/>
        <w:jc w:val="both"/>
        <w:rPr>
          <w:rFonts w:ascii="Times New Roman" w:hAnsi="Times New Roman"/>
          <w:b/>
          <w:bCs/>
        </w:rPr>
      </w:pPr>
      <w:r>
        <w:rPr>
          <w:rFonts w:ascii="Times New Roman" w:hAnsi="Times New Roman"/>
          <w:b/>
          <w:bCs/>
        </w:rPr>
        <w:t>Publication bias and sensitivity analysis</w:t>
      </w:r>
    </w:p>
    <w:p w14:paraId="4B2FE9C5" w14:textId="77777777" w:rsidR="00BC2A6D" w:rsidRDefault="00000000">
      <w:pPr>
        <w:pStyle w:val="Heading"/>
      </w:pPr>
      <w:r>
        <w:t>The consideration of variance for each study is usually required in meta-analysis to construct funnel plots and perform tests such as Egger</w:t>
      </w:r>
      <w:r>
        <w:rPr>
          <w:rtl/>
        </w:rPr>
        <w:t>’</w:t>
      </w:r>
      <w:r>
        <w:t>s regression for detecting publication bias</w:t>
      </w:r>
      <w:r>
        <w:rPr>
          <w:vertAlign w:val="superscript"/>
        </w:rPr>
        <w:t>76,77</w:t>
      </w:r>
      <w:r>
        <w:t>. However, most of the primary studies included in this synthesis did not report variance or standard error estimates for yield effects, preventing the application of these conventional approaches. To address this limitation, we examined the distribution of effect sizes (ES) using density plots as a qualitative proxy for funnel plots, assessing potential asymmetry that might indicate publication bias</w:t>
      </w:r>
      <w:r>
        <w:rPr>
          <w:vertAlign w:val="superscript"/>
        </w:rPr>
        <w:t>75,78</w:t>
      </w:r>
      <w:r>
        <w:t xml:space="preserve">. </w:t>
      </w:r>
    </w:p>
    <w:p w14:paraId="08280F33" w14:textId="77777777" w:rsidR="00BC2A6D" w:rsidRDefault="00000000">
      <w:pPr>
        <w:pStyle w:val="Heading"/>
        <w:sectPr w:rsidR="00BC2A6D">
          <w:headerReference w:type="default" r:id="rId11"/>
          <w:footerReference w:type="default" r:id="rId12"/>
          <w:pgSz w:w="11900" w:h="15880"/>
          <w:pgMar w:top="1440" w:right="1440" w:bottom="1440" w:left="1440" w:header="720" w:footer="720" w:gutter="0"/>
          <w:cols w:space="720"/>
        </w:sectPr>
      </w:pPr>
      <w:r>
        <w:t>Furthermore, we performed a Jackknife sensitivity analysis</w:t>
      </w:r>
      <w:r>
        <w:rPr>
          <w:vertAlign w:val="superscript"/>
        </w:rPr>
        <w:t>79</w:t>
      </w:r>
      <w:r>
        <w:t xml:space="preserve"> to test the robustness of the results. Each study was assigned a unique identifier, and data from one study were removed sequentially in each iteration to evaluate the influence of individual studies on the pooled mean of ES. As an additional exploratory check, we inspected potential small-study effects by plotting ES against study sample size to ensure that effect magnitude was not systematically related to study scale. Together, these analyses provided a qualitative yet comprehensive assessment of the robustness and potential bias in the meta-analytic results.</w:t>
      </w:r>
    </w:p>
    <w:p w14:paraId="03DBC8D6" w14:textId="77777777" w:rsidR="00BC2A6D" w:rsidRDefault="00000000">
      <w:pPr>
        <w:pStyle w:val="ListParagraph"/>
        <w:widowControl w:val="0"/>
        <w:numPr>
          <w:ilvl w:val="0"/>
          <w:numId w:val="12"/>
        </w:numPr>
        <w:spacing w:after="0" w:line="480" w:lineRule="auto"/>
        <w:jc w:val="both"/>
        <w:rPr>
          <w:rFonts w:ascii="Times New Roman" w:hAnsi="Times New Roman"/>
          <w:b/>
          <w:bCs/>
        </w:rPr>
      </w:pPr>
      <w:r>
        <w:rPr>
          <w:rFonts w:ascii="Times New Roman" w:hAnsi="Times New Roman"/>
          <w:b/>
          <w:bCs/>
        </w:rPr>
        <w:lastRenderedPageBreak/>
        <w:t>Results and discussion</w:t>
      </w:r>
    </w:p>
    <w:p w14:paraId="21B45ACA"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 xml:space="preserve">The large-scale implementation of RFPs necessitates a comprehensive understanding of the underlying processes and mechanisms influencing crop yield across diverse environmental contexts. While existing studies have documented variable outcomes—including yield increases, decreases, or no significant change—many have not adequately explored the fundamental biophysical and management factors driving these yield responses </w:t>
      </w:r>
      <w:r>
        <w:rPr>
          <w:rFonts w:ascii="Times New Roman" w:hAnsi="Times New Roman"/>
          <w:vertAlign w:val="superscript"/>
        </w:rPr>
        <w:t>11,13,14</w:t>
      </w:r>
      <w:r>
        <w:rPr>
          <w:rFonts w:ascii="Times New Roman" w:hAnsi="Times New Roman"/>
        </w:rPr>
        <w:t xml:space="preserve">. However, such knowledge is crucial for context-specific implementation of such practices. This study provides a comprehensive assessment of the impacts of different RFPs on crop yield, considering a broad range of crop groups, climate regimes, soil properties, and topographic characteristics.   </w:t>
      </w:r>
    </w:p>
    <w:p w14:paraId="1F0BAED5" w14:textId="77777777" w:rsidR="00BC2A6D" w:rsidRDefault="00BC2A6D">
      <w:pPr>
        <w:pStyle w:val="Body"/>
        <w:widowControl w:val="0"/>
        <w:spacing w:after="0" w:line="480" w:lineRule="auto"/>
        <w:jc w:val="both"/>
        <w:rPr>
          <w:rFonts w:ascii="Times New Roman" w:eastAsia="Times New Roman" w:hAnsi="Times New Roman" w:cs="Times New Roman"/>
          <w:b/>
          <w:bCs/>
        </w:rPr>
      </w:pPr>
    </w:p>
    <w:p w14:paraId="1E3EE4BE" w14:textId="77777777" w:rsidR="00BC2A6D" w:rsidRDefault="00000000">
      <w:pPr>
        <w:pStyle w:val="ListParagraph"/>
        <w:widowControl w:val="0"/>
        <w:numPr>
          <w:ilvl w:val="1"/>
          <w:numId w:val="4"/>
        </w:numPr>
        <w:spacing w:after="0" w:line="480" w:lineRule="auto"/>
        <w:jc w:val="both"/>
        <w:rPr>
          <w:rFonts w:ascii="Times New Roman" w:hAnsi="Times New Roman"/>
          <w:b/>
          <w:bCs/>
        </w:rPr>
      </w:pPr>
      <w:r>
        <w:rPr>
          <w:rFonts w:ascii="Times New Roman" w:hAnsi="Times New Roman"/>
          <w:b/>
          <w:bCs/>
        </w:rPr>
        <w:t>Crop yield change across practices</w:t>
      </w:r>
    </w:p>
    <w:p w14:paraId="6DDA0BD0"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 xml:space="preserve">Across the entire dataset, RFPs (Fig. 2) resulted in a modest but significant overall (Fig. 2) yield increase of 0.8% (with 95% confidence interval, CI: 0.3 to 1.3%), thereby supporting growing evidence that sustainable intensification is achievable through RFPs. However, the magnitude and direction of yield responses varied considerably depending on the specific practice. </w:t>
      </w:r>
    </w:p>
    <w:p w14:paraId="61040CA4" w14:textId="77777777" w:rsidR="00BC2A6D" w:rsidRDefault="00000000">
      <w:pPr>
        <w:pStyle w:val="Heading"/>
      </w:pPr>
      <w:r>
        <w:t>AF and CC significantly enhanced yields by 12.3% (9.3 to 15.5%) and 7.5% (5.4 to 9.6%), respectively. While these findings align with previous research highlighting the beneficial effects of diversified cropping systems, the magnitude of the effect differs across studies</w:t>
      </w:r>
      <w:r>
        <w:rPr>
          <w:vertAlign w:val="superscript"/>
        </w:rPr>
        <w:t>11,21,80</w:t>
      </w:r>
      <w:r>
        <w:t xml:space="preserve">. For example, </w:t>
      </w:r>
      <w:r>
        <w:fldChar w:fldCharType="begin"/>
      </w:r>
      <w:r>
        <w:instrText xml:space="preserve"> ADDIN EN.CITE &lt;EndNote&gt;&lt;Cite  &gt;&lt;Author&gt;Ren&lt;/Author&gt;&lt;Year&gt;2023&lt;/Year&gt;&lt;RecNum&gt;234&lt;/RecNum&gt;&lt;Prefix&gt;&lt;/Prefix&gt;&lt;Suffix&gt;&lt;/Suffix&gt;&lt;Pages&gt;&lt;/Pages&gt;&lt;DisplayText&gt;Ren, et al. 11&lt;/DisplayText&gt;&lt;record&gt;&lt;rec-number&gt;234&lt;/rec-number&gt;&lt;foreign-keys&gt;&lt;key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record&gt;&lt;/Cite&gt;&lt;/EndNote&gt;</w:instrText>
      </w:r>
      <w:r>
        <w:fldChar w:fldCharType="separate"/>
      </w:r>
      <w:r>
        <w:t>Ren, et al. 11</w:t>
      </w:r>
      <w:r>
        <w:fldChar w:fldCharType="end"/>
      </w:r>
      <w:r>
        <w:t xml:space="preserve"> recorded increased crop yield by 11% and 66% for CC and AF respectively. In contrast, our observed increase for CC is substantially higher than the global average of 2.6% reported by </w:t>
      </w:r>
      <w:r>
        <w:fldChar w:fldCharType="begin"/>
      </w:r>
      <w:r>
        <w:instrText xml:space="preserve"> ADDIN EN.CITE &lt;EndNote&gt;&lt;Cite  &gt;&lt;Author&gt;Peng&lt;/Author&gt;&lt;Year&gt;2024&lt;/Year&gt;&lt;Prefix&gt;&lt;/Prefix&gt;&lt;Suffix&gt;&lt;/Suffix&gt;&lt;Pages&gt;&lt;/Pages&gt;&lt;DisplayText&gt;Peng, et al. 21&lt;/DisplayText&gt;&lt;record&gt;&lt;rec-number&gt;336&lt;/rec-number&gt;&lt;foreign-keys&gt;&lt;key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Research&lt;/full-title&gt;&lt;/periodical&gt;&lt;pages&gt;109343&lt;/pages&gt;&lt;volume&gt;310&lt;/volume&gt;&lt;dates&gt;&lt;year&gt;2024&lt;/year&gt;&lt;/dates&gt;&lt;isbn&gt;0378-4290&lt;/isbn&gt;&lt;urls/&gt;&lt;/record&gt;&lt;/Cite&gt;&lt;/EndNote&gt;</w:instrText>
      </w:r>
      <w:r>
        <w:fldChar w:fldCharType="separate"/>
      </w:r>
      <w:r>
        <w:t>Peng, et al. 21</w:t>
      </w:r>
      <w:r>
        <w:fldChar w:fldCharType="end"/>
      </w:r>
      <w:r>
        <w:t>, yet slightly lower than the 9.2% increase reported in cases involving leguminous cover crops, which is most likely due to their nitrogen-fixing abilities</w:t>
      </w:r>
      <w:r>
        <w:rPr>
          <w:vertAlign w:val="superscript"/>
        </w:rPr>
        <w:t>81</w:t>
      </w:r>
      <w:r>
        <w:t>. These variations among studies are likely attributable to differences in soil conditions, climate, and management practices. In contrast, no-tillage (NT) and organic farming (OF) were associated with modest yield declines (NT (significant decline): mean −0.7%, –1.2 to –0.2%; OF(non-significant decline): mean −2.0%, –3.9 to 0.2%), which may reflect challenges related to nutrient availability, weed pressure, or delayed adaptation of these systems in certain contexts</w:t>
      </w:r>
      <w:r>
        <w:rPr>
          <w:vertAlign w:val="superscript"/>
        </w:rPr>
        <w:t>35,82,83</w:t>
      </w:r>
      <w:r>
        <w:t xml:space="preserve">.  </w:t>
      </w:r>
    </w:p>
    <w:p w14:paraId="7365E6F0" w14:textId="77777777" w:rsidR="00BC2A6D" w:rsidRDefault="00000000">
      <w:pPr>
        <w:pStyle w:val="Heading"/>
      </w:pPr>
      <w:r>
        <w:rPr>
          <w:noProof/>
        </w:rPr>
        <w:lastRenderedPageBreak/>
        <w:drawing>
          <wp:inline distT="0" distB="0" distL="0" distR="0" wp14:anchorId="6BA3B69D" wp14:editId="02A1A70A">
            <wp:extent cx="5727573" cy="5751689"/>
            <wp:effectExtent l="0" t="0" r="0" b="0"/>
            <wp:docPr id="1073741826" name="officeArt object" descr="A chart of crops and crops&#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6" name="A chart of crops and cropsAI-generated content may be incorrect." descr="A chart of crops and cropsAI-generated content may be incorrect."/>
                    <pic:cNvPicPr>
                      <a:picLocks noChangeAspect="1"/>
                    </pic:cNvPicPr>
                  </pic:nvPicPr>
                  <pic:blipFill>
                    <a:blip r:embed="rId13"/>
                    <a:stretch>
                      <a:fillRect/>
                    </a:stretch>
                  </pic:blipFill>
                  <pic:spPr>
                    <a:xfrm>
                      <a:off x="0" y="0"/>
                      <a:ext cx="5727573" cy="5751689"/>
                    </a:xfrm>
                    <a:prstGeom prst="rect">
                      <a:avLst/>
                    </a:prstGeom>
                    <a:ln w="12700" cap="flat">
                      <a:noFill/>
                      <a:miter lim="400000"/>
                    </a:ln>
                    <a:effectLst/>
                  </pic:spPr>
                </pic:pic>
              </a:graphicData>
            </a:graphic>
          </wp:inline>
        </w:drawing>
      </w:r>
    </w:p>
    <w:p w14:paraId="27596C97" w14:textId="77777777" w:rsidR="00BC2A6D" w:rsidRDefault="00000000">
      <w:pPr>
        <w:pStyle w:val="NoSpacing"/>
        <w:jc w:val="both"/>
        <w:rPr>
          <w:rFonts w:ascii="Times New Roman" w:eastAsia="Times New Roman" w:hAnsi="Times New Roman" w:cs="Times New Roman"/>
        </w:rPr>
      </w:pPr>
      <w:r>
        <w:rPr>
          <w:rFonts w:ascii="Times New Roman" w:hAnsi="Times New Roman"/>
        </w:rPr>
        <w:t xml:space="preserve">Figure 2: Distribution of the percentage change of the effect size between regenerative agriculture practices, crop groups, soil properties, topography, and climatic variables. Points show means; error bars are 95% CIs. Categories whose 95% CIs exclude 0 (vertical red line) differ significantly from controls. RFPs: Regenerative farming practices, </w:t>
      </w:r>
      <w:proofErr w:type="spellStart"/>
      <w:r>
        <w:rPr>
          <w:rFonts w:ascii="Times New Roman" w:hAnsi="Times New Roman"/>
        </w:rPr>
        <w:t>V_F_others</w:t>
      </w:r>
      <w:proofErr w:type="spellEnd"/>
      <w:r>
        <w:rPr>
          <w:rFonts w:ascii="Times New Roman" w:hAnsi="Times New Roman"/>
        </w:rPr>
        <w:t xml:space="preserve">: Vegetable, fruits and others, P: Phosphorus, BD: bulk density, GDD: growing degree days, </w:t>
      </w:r>
      <w:proofErr w:type="spellStart"/>
      <w:r>
        <w:rPr>
          <w:rFonts w:ascii="Times New Roman" w:hAnsi="Times New Roman"/>
        </w:rPr>
        <w:t>Mtn_sumt</w:t>
      </w:r>
      <w:proofErr w:type="spellEnd"/>
      <w:r>
        <w:rPr>
          <w:rFonts w:ascii="Times New Roman" w:hAnsi="Times New Roman"/>
        </w:rPr>
        <w:t xml:space="preserve">: Mountain summit, </w:t>
      </w:r>
      <w:proofErr w:type="spellStart"/>
      <w:r>
        <w:rPr>
          <w:rFonts w:ascii="Times New Roman" w:hAnsi="Times New Roman"/>
        </w:rPr>
        <w:t>Cliff_sl</w:t>
      </w:r>
      <w:proofErr w:type="spellEnd"/>
      <w:r>
        <w:rPr>
          <w:rFonts w:ascii="Times New Roman" w:hAnsi="Times New Roman"/>
        </w:rPr>
        <w:t xml:space="preserve">: Cliff slope, </w:t>
      </w:r>
      <w:proofErr w:type="spellStart"/>
      <w:r>
        <w:rPr>
          <w:rFonts w:ascii="Times New Roman" w:hAnsi="Times New Roman"/>
        </w:rPr>
        <w:t>Lwhi_mtn</w:t>
      </w:r>
      <w:proofErr w:type="spellEnd"/>
      <w:r>
        <w:rPr>
          <w:rFonts w:ascii="Times New Roman" w:hAnsi="Times New Roman"/>
        </w:rPr>
        <w:t xml:space="preserve">: Lower/hilly mountain, </w:t>
      </w:r>
      <w:proofErr w:type="spellStart"/>
      <w:r>
        <w:rPr>
          <w:rFonts w:ascii="Times New Roman" w:hAnsi="Times New Roman"/>
        </w:rPr>
        <w:t>Shills_dcsl</w:t>
      </w:r>
      <w:proofErr w:type="spellEnd"/>
      <w:r>
        <w:rPr>
          <w:rFonts w:ascii="Times New Roman" w:hAnsi="Times New Roman"/>
        </w:rPr>
        <w:t xml:space="preserve">: Steep hills / dissected cliff slope, </w:t>
      </w:r>
      <w:proofErr w:type="spellStart"/>
      <w:r>
        <w:rPr>
          <w:rFonts w:ascii="Times New Roman" w:hAnsi="Times New Roman"/>
        </w:rPr>
        <w:t>Lhgsl_steep</w:t>
      </w:r>
      <w:proofErr w:type="spellEnd"/>
      <w:r>
        <w:rPr>
          <w:rFonts w:ascii="Times New Roman" w:hAnsi="Times New Roman"/>
        </w:rPr>
        <w:t xml:space="preserve">: Large highland slope steep, </w:t>
      </w:r>
      <w:proofErr w:type="spellStart"/>
      <w:r>
        <w:rPr>
          <w:rFonts w:ascii="Times New Roman" w:hAnsi="Times New Roman"/>
        </w:rPr>
        <w:t>Lhgsl_mod</w:t>
      </w:r>
      <w:proofErr w:type="spellEnd"/>
      <w:r>
        <w:rPr>
          <w:rFonts w:ascii="Times New Roman" w:hAnsi="Times New Roman"/>
        </w:rPr>
        <w:t xml:space="preserve">: Large highland slope moderate, </w:t>
      </w:r>
      <w:proofErr w:type="spellStart"/>
      <w:r>
        <w:rPr>
          <w:rFonts w:ascii="Times New Roman" w:hAnsi="Times New Roman"/>
        </w:rPr>
        <w:t>Mtn_vs</w:t>
      </w:r>
      <w:proofErr w:type="spellEnd"/>
      <w:r>
        <w:rPr>
          <w:rFonts w:ascii="Times New Roman" w:hAnsi="Times New Roman"/>
        </w:rPr>
        <w:t xml:space="preserve">: Mountain valley slope, </w:t>
      </w:r>
      <w:proofErr w:type="spellStart"/>
      <w:r>
        <w:rPr>
          <w:rFonts w:ascii="Times New Roman" w:hAnsi="Times New Roman"/>
        </w:rPr>
        <w:t>Mod_hills</w:t>
      </w:r>
      <w:proofErr w:type="spellEnd"/>
      <w:r>
        <w:rPr>
          <w:rFonts w:ascii="Times New Roman" w:hAnsi="Times New Roman"/>
        </w:rPr>
        <w:t xml:space="preserve">: Moderate hills, </w:t>
      </w:r>
      <w:proofErr w:type="spellStart"/>
      <w:r>
        <w:rPr>
          <w:rFonts w:ascii="Times New Roman" w:hAnsi="Times New Roman"/>
        </w:rPr>
        <w:t>Tfphi_dis:Terrace</w:t>
      </w:r>
      <w:proofErr w:type="spellEnd"/>
      <w:r>
        <w:rPr>
          <w:rFonts w:ascii="Times New Roman" w:hAnsi="Times New Roman"/>
        </w:rPr>
        <w:t xml:space="preserve">/fan/plateau (high, dissected), </w:t>
      </w:r>
      <w:proofErr w:type="spellStart"/>
      <w:r>
        <w:rPr>
          <w:rFonts w:ascii="Times New Roman" w:hAnsi="Times New Roman"/>
        </w:rPr>
        <w:t>Tfphi_surf</w:t>
      </w:r>
      <w:proofErr w:type="spellEnd"/>
      <w:r>
        <w:rPr>
          <w:rFonts w:ascii="Times New Roman" w:hAnsi="Times New Roman"/>
        </w:rPr>
        <w:t xml:space="preserve">: Terrace/fan/plateau (high, surface), </w:t>
      </w:r>
      <w:proofErr w:type="spellStart"/>
      <w:r>
        <w:rPr>
          <w:rFonts w:ascii="Times New Roman" w:hAnsi="Times New Roman"/>
        </w:rPr>
        <w:t>Val_sl</w:t>
      </w:r>
      <w:proofErr w:type="spellEnd"/>
      <w:r>
        <w:rPr>
          <w:rFonts w:ascii="Times New Roman" w:hAnsi="Times New Roman"/>
        </w:rPr>
        <w:t xml:space="preserve">: Valley slope, </w:t>
      </w:r>
      <w:proofErr w:type="spellStart"/>
      <w:r>
        <w:rPr>
          <w:rFonts w:ascii="Times New Roman" w:hAnsi="Times New Roman"/>
        </w:rPr>
        <w:t>Tfplw_dis</w:t>
      </w:r>
      <w:proofErr w:type="spellEnd"/>
      <w:r>
        <w:rPr>
          <w:rFonts w:ascii="Times New Roman" w:hAnsi="Times New Roman"/>
        </w:rPr>
        <w:t xml:space="preserve">: Terrace/fan/plateau (low, dissected), </w:t>
      </w:r>
      <w:proofErr w:type="spellStart"/>
      <w:r>
        <w:rPr>
          <w:rFonts w:ascii="Times New Roman" w:hAnsi="Times New Roman"/>
        </w:rPr>
        <w:t>Tfplw_surf</w:t>
      </w:r>
      <w:proofErr w:type="spellEnd"/>
      <w:r>
        <w:rPr>
          <w:rFonts w:ascii="Times New Roman" w:hAnsi="Times New Roman"/>
        </w:rPr>
        <w:t xml:space="preserve">: Terrace/fan/plateau (low, surface), </w:t>
      </w:r>
      <w:proofErr w:type="spellStart"/>
      <w:r>
        <w:rPr>
          <w:rFonts w:ascii="Times New Roman" w:hAnsi="Times New Roman"/>
        </w:rPr>
        <w:t>Hi_plain</w:t>
      </w:r>
      <w:proofErr w:type="spellEnd"/>
      <w:r>
        <w:rPr>
          <w:rFonts w:ascii="Times New Roman" w:hAnsi="Times New Roman"/>
        </w:rPr>
        <w:t xml:space="preserve">: High plain (Sinks &lt; 50%), </w:t>
      </w:r>
      <w:proofErr w:type="spellStart"/>
      <w:r>
        <w:rPr>
          <w:rFonts w:ascii="Times New Roman" w:hAnsi="Times New Roman"/>
        </w:rPr>
        <w:t>Lw_plain</w:t>
      </w:r>
      <w:proofErr w:type="spellEnd"/>
      <w:r>
        <w:rPr>
          <w:rFonts w:ascii="Times New Roman" w:hAnsi="Times New Roman"/>
        </w:rPr>
        <w:t xml:space="preserve">: Low plain (Sinks &lt; 50%). </w:t>
      </w:r>
    </w:p>
    <w:p w14:paraId="2CA7A9CF" w14:textId="77777777" w:rsidR="00BC2A6D" w:rsidRDefault="00BC2A6D">
      <w:pPr>
        <w:pStyle w:val="ListParagraph"/>
        <w:widowControl w:val="0"/>
        <w:spacing w:after="0" w:line="480" w:lineRule="auto"/>
        <w:ind w:left="0"/>
        <w:jc w:val="both"/>
        <w:rPr>
          <w:rFonts w:ascii="Times New Roman" w:eastAsia="Times New Roman" w:hAnsi="Times New Roman" w:cs="Times New Roman"/>
          <w:kern w:val="36"/>
        </w:rPr>
      </w:pPr>
    </w:p>
    <w:p w14:paraId="372A3295" w14:textId="77777777" w:rsidR="00BC2A6D" w:rsidRDefault="00000000">
      <w:pPr>
        <w:pStyle w:val="ListParagraph"/>
        <w:widowControl w:val="0"/>
        <w:numPr>
          <w:ilvl w:val="1"/>
          <w:numId w:val="4"/>
        </w:numPr>
        <w:spacing w:after="0" w:line="480" w:lineRule="auto"/>
        <w:jc w:val="both"/>
        <w:rPr>
          <w:rFonts w:ascii="Times New Roman" w:hAnsi="Times New Roman"/>
          <w:b/>
          <w:bCs/>
        </w:rPr>
      </w:pPr>
      <w:r>
        <w:rPr>
          <w:rFonts w:ascii="Times New Roman" w:hAnsi="Times New Roman"/>
          <w:b/>
          <w:bCs/>
          <w:kern w:val="36"/>
        </w:rPr>
        <w:t>Crop yield change across climate types</w:t>
      </w:r>
    </w:p>
    <w:p w14:paraId="68E3436F" w14:textId="77777777" w:rsidR="00BC2A6D" w:rsidRDefault="00000000">
      <w:pPr>
        <w:pStyle w:val="ListParagraph"/>
        <w:widowControl w:val="0"/>
        <w:spacing w:after="0" w:line="240" w:lineRule="auto"/>
        <w:ind w:left="0"/>
        <w:jc w:val="both"/>
        <w:rPr>
          <w:rFonts w:ascii="Times New Roman" w:eastAsia="Times New Roman" w:hAnsi="Times New Roman" w:cs="Times New Roman"/>
        </w:rPr>
      </w:pPr>
      <w:r>
        <w:rPr>
          <w:rFonts w:ascii="Times New Roman" w:hAnsi="Times New Roman"/>
        </w:rPr>
        <w:lastRenderedPageBreak/>
        <w:t>Yield effects varied across climate zones and temperature regimes. Across climate zones (Fig. 2), RFPs produced the highest yield increases in arid (3.9%; 95% CI: 2.6 to 5.2) and temperate (1.8%; 95% CI: 1.0 to 2.7) regions, whereas yields declined in continental regions (–1.7%; 95% CI: –2.4 to –1.1) and showed no significant change in tropical regions (+0.4%; 95% CI: –1.3 to 2.5). These patterns were consistent with the aridity index, with mean yield increases being greatest under arid conditions (AI = 0.05–0.20; 9.1%; 95% CI: 5.9 to 12.3) and remaining positive in semi-arid zones (AI = 0.20–0.50; 2.7%; 95% CI: 1.7 to 3.4). In contrast, yield responses were neutral or slightly negative in sub-humid to humid environments (AI &gt; 0.50). Such results indicate that RFPs are particularly advantageous under water-limited conditions, where improved soil structure, organic matter, and water retention enhance crop productivity and resilience. Among practices (Fig. 3), AF and NT showed significant yield gains in arid and semi-arid climates, while many positive OF responses were also concentrated in semi-arid regions. AF achieved its peak yield increase in temperate regions (36%; 95% CI: 30.9 to 42.1), and in more humid zones (AI &gt; 0.50), higher yield gains were again observed for AF and CC.</w:t>
      </w:r>
    </w:p>
    <w:p w14:paraId="719EFA33" w14:textId="77777777" w:rsidR="00BC2A6D" w:rsidRDefault="00BC2A6D">
      <w:pPr>
        <w:pStyle w:val="ListParagraph"/>
        <w:widowControl w:val="0"/>
        <w:spacing w:after="0" w:line="240" w:lineRule="auto"/>
        <w:ind w:left="0"/>
        <w:jc w:val="both"/>
        <w:rPr>
          <w:rFonts w:ascii="Times New Roman" w:eastAsia="Times New Roman" w:hAnsi="Times New Roman" w:cs="Times New Roman"/>
          <w:kern w:val="36"/>
        </w:rPr>
      </w:pPr>
    </w:p>
    <w:p w14:paraId="7AF1608C"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The relatively high effectiveness of NT and AF in dry climates likely arises from their ability to conserve soil moisture, reduce erosion, and maintain soil cover—key mechanisms that buffer crops against drought stress. In contrast, CC can be constrained under low-rainfall conditions, as cover crops may compete with main crops for limited water, reducing overall yield</w:t>
      </w:r>
      <w:r>
        <w:rPr>
          <w:rFonts w:ascii="Times New Roman" w:hAnsi="Times New Roman"/>
          <w:vertAlign w:val="superscript"/>
        </w:rPr>
        <w:t>84</w:t>
      </w:r>
      <w:r>
        <w:rPr>
          <w:rFonts w:ascii="Times New Roman" w:hAnsi="Times New Roman"/>
        </w:rPr>
        <w:t>. Consequently, the pronounced benefits of AF and NT in arid areas underscore their value for stabilizing production where conventional methods often exacerbate soil degradation and moisture loss. This further highlight the potential of these practices to enhance resilience and productivity under increasingly dry conditions</w:t>
      </w:r>
      <w:r>
        <w:rPr>
          <w:rFonts w:ascii="Times New Roman" w:hAnsi="Times New Roman"/>
          <w:vertAlign w:val="superscript"/>
        </w:rPr>
        <w:t>15,85</w:t>
      </w:r>
      <w:r>
        <w:rPr>
          <w:rFonts w:ascii="Times New Roman" w:hAnsi="Times New Roman"/>
        </w:rPr>
        <w:t>, a finding that is especially relevant given the projected expansion of arid zones due to climate change</w:t>
      </w:r>
      <w:r>
        <w:rPr>
          <w:rFonts w:ascii="Times New Roman" w:hAnsi="Times New Roman"/>
          <w:vertAlign w:val="superscript"/>
        </w:rPr>
        <w:t>86</w:t>
      </w:r>
      <w:r>
        <w:rPr>
          <w:rFonts w:ascii="Times New Roman" w:hAnsi="Times New Roman"/>
        </w:rPr>
        <w:t>. In humid regions (AI &gt; 0.50), the relative yield advantages of RFPs were smaller, yet AF still achieved notable gains, particularly in temperate climates. These benefits likely reflect improved nutrient cycling, reduced erosion, and enhanced soil structure—functions especially valuable in wetter systems prone to nutrient leaching and runoff. Overall, the observed climatic patterns highlight that the performance of RFPs depends strongly on local water balance and management context. Tailoring the choice of regenerative practice to prevailing moisture regimes can therefore maximize productivity, resilience, and sustainability under both current and future climate conditions.</w:t>
      </w:r>
    </w:p>
    <w:p w14:paraId="1911DBF7" w14:textId="77777777" w:rsidR="00BC2A6D" w:rsidRDefault="00BC2A6D">
      <w:pPr>
        <w:pStyle w:val="Body"/>
        <w:spacing w:after="0" w:line="240" w:lineRule="auto"/>
        <w:jc w:val="both"/>
        <w:rPr>
          <w:rFonts w:ascii="Times New Roman" w:eastAsia="Times New Roman" w:hAnsi="Times New Roman" w:cs="Times New Roman"/>
        </w:rPr>
      </w:pPr>
    </w:p>
    <w:p w14:paraId="5D304502" w14:textId="77777777" w:rsidR="00BC2A6D" w:rsidRDefault="00000000">
      <w:pPr>
        <w:pStyle w:val="NoSpacing"/>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E91E3CE" wp14:editId="0DDD2005">
            <wp:extent cx="5730875" cy="5152390"/>
            <wp:effectExtent l="0" t="0" r="0" b="0"/>
            <wp:docPr id="1073741827" name="officeArt object" descr="A chart of different crops&#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7" name="A chart of different cropsAI-generated content may be incorrect." descr="A chart of different cropsAI-generated content may be incorrect."/>
                    <pic:cNvPicPr>
                      <a:picLocks noChangeAspect="1"/>
                    </pic:cNvPicPr>
                  </pic:nvPicPr>
                  <pic:blipFill>
                    <a:blip r:embed="rId14"/>
                    <a:stretch>
                      <a:fillRect/>
                    </a:stretch>
                  </pic:blipFill>
                  <pic:spPr>
                    <a:xfrm>
                      <a:off x="0" y="0"/>
                      <a:ext cx="5730875" cy="5152390"/>
                    </a:xfrm>
                    <a:prstGeom prst="rect">
                      <a:avLst/>
                    </a:prstGeom>
                    <a:ln w="12700" cap="flat">
                      <a:noFill/>
                      <a:miter lim="400000"/>
                    </a:ln>
                    <a:effectLst/>
                  </pic:spPr>
                </pic:pic>
              </a:graphicData>
            </a:graphic>
          </wp:inline>
        </w:drawing>
      </w:r>
    </w:p>
    <w:p w14:paraId="1FD432FF" w14:textId="77777777" w:rsidR="00BC2A6D" w:rsidRDefault="00000000">
      <w:pPr>
        <w:pStyle w:val="NoSpacing"/>
        <w:jc w:val="both"/>
        <w:rPr>
          <w:rFonts w:ascii="Times New Roman" w:eastAsia="Times New Roman" w:hAnsi="Times New Roman" w:cs="Times New Roman"/>
        </w:rPr>
      </w:pPr>
      <w:r>
        <w:rPr>
          <w:rFonts w:ascii="Times New Roman" w:hAnsi="Times New Roman"/>
        </w:rPr>
        <w:t xml:space="preserve">Figure 3: Distribution of effect size across crop groups and climate variables for different regenerative agriculture practices. Points show means; error bars are 95% CIs. Categories whose 95% CIs exclude 0 (vertical red line) differ significantly from controls. </w:t>
      </w:r>
      <w:proofErr w:type="spellStart"/>
      <w:r>
        <w:rPr>
          <w:rFonts w:ascii="Times New Roman" w:hAnsi="Times New Roman"/>
        </w:rPr>
        <w:t>V_F_others</w:t>
      </w:r>
      <w:proofErr w:type="spellEnd"/>
      <w:r>
        <w:rPr>
          <w:rFonts w:ascii="Times New Roman" w:hAnsi="Times New Roman"/>
        </w:rPr>
        <w:t>: Vegetable, fruits and others, GDD (x 1000) : growing degree days.</w:t>
      </w:r>
    </w:p>
    <w:p w14:paraId="2AB52F3D" w14:textId="77777777" w:rsidR="00BC2A6D" w:rsidRDefault="00BC2A6D">
      <w:pPr>
        <w:pStyle w:val="Body"/>
        <w:spacing w:after="0" w:line="240" w:lineRule="auto"/>
        <w:jc w:val="both"/>
        <w:rPr>
          <w:rFonts w:ascii="Times New Roman" w:eastAsia="Times New Roman" w:hAnsi="Times New Roman" w:cs="Times New Roman"/>
        </w:rPr>
      </w:pPr>
    </w:p>
    <w:p w14:paraId="03E1FF65" w14:textId="77777777" w:rsidR="00BC2A6D" w:rsidRDefault="00BC2A6D">
      <w:pPr>
        <w:pStyle w:val="Body"/>
        <w:spacing w:after="0" w:line="240" w:lineRule="auto"/>
        <w:jc w:val="both"/>
        <w:rPr>
          <w:rFonts w:ascii="Times New Roman" w:eastAsia="Times New Roman" w:hAnsi="Times New Roman" w:cs="Times New Roman"/>
        </w:rPr>
      </w:pPr>
    </w:p>
    <w:p w14:paraId="100F7D11" w14:textId="77777777" w:rsidR="00BC2A6D" w:rsidRDefault="00000000">
      <w:pPr>
        <w:pStyle w:val="ListParagraph"/>
        <w:widowControl w:val="0"/>
        <w:numPr>
          <w:ilvl w:val="1"/>
          <w:numId w:val="4"/>
        </w:numPr>
        <w:spacing w:after="0" w:line="240" w:lineRule="auto"/>
        <w:jc w:val="both"/>
        <w:rPr>
          <w:rFonts w:ascii="Times New Roman" w:hAnsi="Times New Roman"/>
          <w:b/>
          <w:bCs/>
        </w:rPr>
      </w:pPr>
      <w:r>
        <w:rPr>
          <w:rFonts w:ascii="Times New Roman" w:hAnsi="Times New Roman"/>
          <w:b/>
          <w:bCs/>
        </w:rPr>
        <w:t>Crop yield change across specific crops and growing degree days</w:t>
      </w:r>
    </w:p>
    <w:p w14:paraId="3D3DB192" w14:textId="77777777" w:rsidR="00BC2A6D" w:rsidRDefault="00000000">
      <w:pPr>
        <w:pStyle w:val="NormalWeb"/>
        <w:jc w:val="both"/>
        <w:rPr>
          <w:kern w:val="2"/>
          <w:sz w:val="22"/>
          <w:szCs w:val="22"/>
        </w:rPr>
      </w:pPr>
      <w:r>
        <w:rPr>
          <w:kern w:val="2"/>
          <w:sz w:val="22"/>
          <w:szCs w:val="22"/>
        </w:rPr>
        <w:t xml:space="preserve">Yield responses to RFPs showed strong variation both among crop types and across thermal regimes, reflecting the interaction between crop physiology, management, and climatic conditions (Figs. 2–3). </w:t>
      </w:r>
    </w:p>
    <w:p w14:paraId="02D1F0F4" w14:textId="77777777" w:rsidR="00BC2A6D" w:rsidRDefault="00000000">
      <w:pPr>
        <w:pStyle w:val="NormalWeb"/>
        <w:jc w:val="both"/>
        <w:rPr>
          <w:sz w:val="22"/>
          <w:szCs w:val="22"/>
        </w:rPr>
      </w:pPr>
      <w:r>
        <w:rPr>
          <w:kern w:val="2"/>
          <w:sz w:val="22"/>
          <w:szCs w:val="22"/>
        </w:rPr>
        <w:t xml:space="preserve">Across all RFPs, yield responses varied substantially among crop types. Considering all RFPs (Fig. 2) together, cash crops increased by 5.3% (3.2–7.7%) and maize by 0.6% (–0.8 to 2.4%) while other crop types exhibited mixed responses. Practice-wise (Fig. 3), most species exhibited positive mean yield gains under cover cropping (CC), whereas responses were more variable for other practices (Fig. 3). Significant increases were recorded mainly for maize under AF, CC, and OF, and for cash crops under CC and NT. These findings indicate that maize and cash crops benefited most from RFP adoption, though the extent of yield improvement depended on the practice applied. The higher gains under CC, AF, and OF suggest that practices enhancing soil cover and organic inputs are more effective than disturbance-reducing measures alone. Such practices improve soil structure, water retention, and </w:t>
      </w:r>
      <w:r>
        <w:rPr>
          <w:kern w:val="2"/>
          <w:sz w:val="22"/>
          <w:szCs w:val="22"/>
        </w:rPr>
        <w:lastRenderedPageBreak/>
        <w:t>nutrient cycling, thereby creating favorable conditions for high-input crops that rely on sustained nutrient and moisture supply especially for maize</w:t>
      </w:r>
      <w:r>
        <w:rPr>
          <w:sz w:val="22"/>
          <w:szCs w:val="22"/>
          <w:vertAlign w:val="superscript"/>
        </w:rPr>
        <w:t>19,87</w:t>
      </w:r>
      <w:r>
        <w:rPr>
          <w:sz w:val="22"/>
          <w:szCs w:val="22"/>
        </w:rPr>
        <w:t xml:space="preserve">. </w:t>
      </w:r>
      <w:r>
        <w:rPr>
          <w:kern w:val="2"/>
          <w:sz w:val="22"/>
          <w:szCs w:val="22"/>
        </w:rPr>
        <w:t xml:space="preserve">In contrast, the variable performance under NT may reflect slower soil fertility buildup and residue-related constraints, which can limit yield benefits in the short term. </w:t>
      </w:r>
    </w:p>
    <w:p w14:paraId="4B157BFC"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Yield responses across growing degree days (GDD, °</w:t>
      </w:r>
      <w:r>
        <w:rPr>
          <w:rFonts w:ascii="Times New Roman" w:hAnsi="Times New Roman"/>
          <w:lang w:val="es-ES_tradnl"/>
        </w:rPr>
        <w:t>C y</w:t>
      </w:r>
      <w:r>
        <w:rPr>
          <w:rFonts w:ascii="Arial Unicode MS" w:hAnsi="Arial Unicode MS"/>
        </w:rPr>
        <w:t>⁻</w:t>
      </w:r>
      <w:r>
        <w:rPr>
          <w:rFonts w:ascii="Times New Roman" w:hAnsi="Times New Roman"/>
        </w:rPr>
        <w:t>¹) further revealed strong temperature-dependent patterns. Across all RFPs (Fig. 2), maize showed notable increases at 2700–4000°</w:t>
      </w:r>
      <w:r>
        <w:rPr>
          <w:rFonts w:ascii="Times New Roman" w:hAnsi="Times New Roman"/>
          <w:lang w:val="es-ES_tradnl"/>
        </w:rPr>
        <w:t>C y</w:t>
      </w:r>
      <w:r>
        <w:rPr>
          <w:rFonts w:ascii="Arial Unicode MS" w:hAnsi="Arial Unicode MS"/>
        </w:rPr>
        <w:t>⁻</w:t>
      </w:r>
      <w:r>
        <w:rPr>
          <w:rFonts w:ascii="Times New Roman" w:hAnsi="Times New Roman"/>
        </w:rPr>
        <w:t>¹ and 4000–</w:t>
      </w:r>
      <w:r>
        <w:rPr>
          <w:rFonts w:ascii="Times New Roman" w:hAnsi="Times New Roman"/>
          <w:lang w:val="de-DE"/>
        </w:rPr>
        <w:t>6000</w:t>
      </w:r>
      <w:r>
        <w:rPr>
          <w:rFonts w:ascii="Times New Roman" w:hAnsi="Times New Roman"/>
        </w:rPr>
        <w:t>°</w:t>
      </w:r>
      <w:r>
        <w:rPr>
          <w:rFonts w:ascii="Times New Roman" w:hAnsi="Times New Roman"/>
          <w:lang w:val="es-ES_tradnl"/>
        </w:rPr>
        <w:t>C y</w:t>
      </w:r>
      <w:r>
        <w:rPr>
          <w:rFonts w:ascii="Arial Unicode MS" w:hAnsi="Arial Unicode MS"/>
        </w:rPr>
        <w:t>⁻</w:t>
      </w:r>
      <w:r>
        <w:rPr>
          <w:rFonts w:ascii="Times New Roman" w:hAnsi="Times New Roman"/>
        </w:rPr>
        <w:t>¹, rice exhibited strong gains at &lt; 800°</w:t>
      </w:r>
      <w:r>
        <w:rPr>
          <w:rFonts w:ascii="Times New Roman" w:hAnsi="Times New Roman"/>
          <w:lang w:val="es-ES_tradnl"/>
        </w:rPr>
        <w:t>C y</w:t>
      </w:r>
      <w:r>
        <w:rPr>
          <w:rFonts w:ascii="Arial Unicode MS" w:hAnsi="Arial Unicode MS"/>
        </w:rPr>
        <w:t>⁻</w:t>
      </w:r>
      <w:r>
        <w:rPr>
          <w:rFonts w:ascii="Times New Roman" w:hAnsi="Times New Roman"/>
        </w:rPr>
        <w:t>¹, 4000–</w:t>
      </w:r>
      <w:r>
        <w:rPr>
          <w:rFonts w:ascii="Times New Roman" w:hAnsi="Times New Roman"/>
          <w:lang w:val="de-DE"/>
        </w:rPr>
        <w:t>6000</w:t>
      </w:r>
      <w:r>
        <w:rPr>
          <w:rFonts w:ascii="Times New Roman" w:hAnsi="Times New Roman"/>
        </w:rPr>
        <w:t>°</w:t>
      </w:r>
      <w:r>
        <w:rPr>
          <w:rFonts w:ascii="Times New Roman" w:hAnsi="Times New Roman"/>
          <w:lang w:val="es-ES_tradnl"/>
        </w:rPr>
        <w:t>C y</w:t>
      </w:r>
      <w:r>
        <w:rPr>
          <w:rFonts w:ascii="Arial Unicode MS" w:hAnsi="Arial Unicode MS"/>
        </w:rPr>
        <w:t>⁻</w:t>
      </w:r>
      <w:r>
        <w:rPr>
          <w:rFonts w:ascii="Times New Roman" w:hAnsi="Times New Roman"/>
        </w:rPr>
        <w:t>¹, and 6000–10000°</w:t>
      </w:r>
      <w:r>
        <w:rPr>
          <w:rFonts w:ascii="Times New Roman" w:hAnsi="Times New Roman"/>
          <w:lang w:val="es-ES_tradnl"/>
        </w:rPr>
        <w:t>C y</w:t>
      </w:r>
      <w:r>
        <w:rPr>
          <w:rFonts w:ascii="Arial Unicode MS" w:hAnsi="Arial Unicode MS"/>
        </w:rPr>
        <w:t>⁻</w:t>
      </w:r>
      <w:r>
        <w:rPr>
          <w:rFonts w:ascii="Times New Roman" w:hAnsi="Times New Roman"/>
        </w:rPr>
        <w:t>¹, soybean increased most within 2700–4000°</w:t>
      </w:r>
      <w:r>
        <w:rPr>
          <w:rFonts w:ascii="Times New Roman" w:hAnsi="Times New Roman"/>
          <w:lang w:val="es-ES_tradnl"/>
        </w:rPr>
        <w:t>C y</w:t>
      </w:r>
      <w:r>
        <w:rPr>
          <w:rFonts w:ascii="Arial Unicode MS" w:hAnsi="Arial Unicode MS"/>
        </w:rPr>
        <w:t>⁻</w:t>
      </w:r>
      <w:r>
        <w:rPr>
          <w:rFonts w:ascii="Times New Roman" w:hAnsi="Times New Roman"/>
        </w:rPr>
        <w:t>¹ and 4000–</w:t>
      </w:r>
      <w:r>
        <w:rPr>
          <w:rFonts w:ascii="Times New Roman" w:hAnsi="Times New Roman"/>
          <w:lang w:val="de-DE"/>
        </w:rPr>
        <w:t>6000</w:t>
      </w:r>
      <w:r>
        <w:rPr>
          <w:rFonts w:ascii="Times New Roman" w:hAnsi="Times New Roman"/>
        </w:rPr>
        <w:t>°</w:t>
      </w:r>
      <w:r>
        <w:rPr>
          <w:rFonts w:ascii="Times New Roman" w:hAnsi="Times New Roman"/>
          <w:lang w:val="es-ES_tradnl"/>
        </w:rPr>
        <w:t>C y</w:t>
      </w:r>
      <w:r>
        <w:rPr>
          <w:rFonts w:ascii="Arial Unicode MS" w:hAnsi="Arial Unicode MS"/>
        </w:rPr>
        <w:t>⁻</w:t>
      </w:r>
      <w:r>
        <w:rPr>
          <w:rFonts w:ascii="Times New Roman" w:hAnsi="Times New Roman"/>
        </w:rPr>
        <w:t>¹, and wheat showed its largest gains at 800–2700°</w:t>
      </w:r>
      <w:r>
        <w:rPr>
          <w:rFonts w:ascii="Times New Roman" w:hAnsi="Times New Roman"/>
          <w:lang w:val="es-ES_tradnl"/>
        </w:rPr>
        <w:t>C y</w:t>
      </w:r>
      <w:r>
        <w:rPr>
          <w:rFonts w:ascii="Arial Unicode MS" w:hAnsi="Arial Unicode MS"/>
        </w:rPr>
        <w:t>⁻</w:t>
      </w:r>
      <w:r>
        <w:rPr>
          <w:rFonts w:ascii="Times New Roman" w:hAnsi="Times New Roman"/>
        </w:rPr>
        <w:t xml:space="preserve">¹ </w:t>
      </w:r>
      <w:r>
        <w:rPr>
          <w:rFonts w:ascii="Times New Roman" w:hAnsi="Times New Roman"/>
          <w:lang w:val="de-DE"/>
        </w:rPr>
        <w:t>and 6000</w:t>
      </w:r>
      <w:r>
        <w:rPr>
          <w:rFonts w:ascii="Times New Roman" w:hAnsi="Times New Roman"/>
        </w:rPr>
        <w:t>–10000°</w:t>
      </w:r>
      <w:r>
        <w:rPr>
          <w:rFonts w:ascii="Times New Roman" w:hAnsi="Times New Roman"/>
          <w:lang w:val="es-ES_tradnl"/>
        </w:rPr>
        <w:t>C y</w:t>
      </w:r>
      <w:r>
        <w:rPr>
          <w:rFonts w:ascii="Arial Unicode MS" w:hAnsi="Arial Unicode MS"/>
        </w:rPr>
        <w:t>⁻</w:t>
      </w:r>
      <w:r>
        <w:rPr>
          <w:rFonts w:ascii="Times New Roman" w:hAnsi="Times New Roman"/>
        </w:rPr>
        <w:t>¹. At the RFP level (Fig. 3), high GDD regimes (&gt; 4000°</w:t>
      </w:r>
      <w:r>
        <w:rPr>
          <w:rFonts w:ascii="Times New Roman" w:hAnsi="Times New Roman"/>
          <w:lang w:val="es-ES_tradnl"/>
        </w:rPr>
        <w:t>C y</w:t>
      </w:r>
      <w:r>
        <w:rPr>
          <w:rFonts w:ascii="Arial Unicode MS" w:hAnsi="Arial Unicode MS"/>
        </w:rPr>
        <w:t>⁻</w:t>
      </w:r>
      <w:r>
        <w:rPr>
          <w:rFonts w:ascii="Times New Roman" w:hAnsi="Times New Roman"/>
        </w:rPr>
        <w:t>¹) resulted in larger yield increases for maize under AF and CC, while low GDD (&lt; 800°</w:t>
      </w:r>
      <w:r>
        <w:rPr>
          <w:rFonts w:ascii="Times New Roman" w:hAnsi="Times New Roman"/>
          <w:lang w:val="es-ES_tradnl"/>
        </w:rPr>
        <w:t>C y</w:t>
      </w:r>
      <w:r>
        <w:rPr>
          <w:rFonts w:ascii="Arial Unicode MS" w:hAnsi="Arial Unicode MS"/>
        </w:rPr>
        <w:t>⁻</w:t>
      </w:r>
      <w:r>
        <w:rPr>
          <w:rFonts w:ascii="Times New Roman" w:hAnsi="Times New Roman"/>
        </w:rPr>
        <w:t>¹) favored higher yields for maize under OF and for rice under NT and OF. For rice and soybean, yields increased above 4000°</w:t>
      </w:r>
      <w:r>
        <w:rPr>
          <w:rFonts w:ascii="Times New Roman" w:hAnsi="Times New Roman"/>
          <w:lang w:val="es-ES_tradnl"/>
        </w:rPr>
        <w:t>C y</w:t>
      </w:r>
      <w:r>
        <w:rPr>
          <w:rFonts w:ascii="Arial Unicode MS" w:hAnsi="Arial Unicode MS"/>
        </w:rPr>
        <w:t>⁻</w:t>
      </w:r>
      <w:r>
        <w:rPr>
          <w:rFonts w:ascii="Times New Roman" w:hAnsi="Times New Roman"/>
        </w:rPr>
        <w:t>¹ under CC, and for wheat, significant gains occurred under CC and OF at 800–2700°</w:t>
      </w:r>
      <w:r>
        <w:rPr>
          <w:rFonts w:ascii="Times New Roman" w:hAnsi="Times New Roman"/>
          <w:lang w:val="es-ES_tradnl"/>
        </w:rPr>
        <w:t>C y</w:t>
      </w:r>
      <w:r>
        <w:rPr>
          <w:rFonts w:ascii="Arial Unicode MS" w:hAnsi="Arial Unicode MS"/>
        </w:rPr>
        <w:t>⁻</w:t>
      </w:r>
      <w:r>
        <w:rPr>
          <w:rFonts w:ascii="Times New Roman" w:hAnsi="Times New Roman"/>
        </w:rPr>
        <w:t>¹, with positive trends persisting above 6000°</w:t>
      </w:r>
      <w:r>
        <w:rPr>
          <w:rFonts w:ascii="Times New Roman" w:hAnsi="Times New Roman"/>
          <w:lang w:val="es-ES_tradnl"/>
        </w:rPr>
        <w:t>C y</w:t>
      </w:r>
      <w:r>
        <w:rPr>
          <w:rFonts w:ascii="Arial Unicode MS" w:hAnsi="Arial Unicode MS"/>
        </w:rPr>
        <w:t>⁻</w:t>
      </w:r>
      <w:r>
        <w:rPr>
          <w:rFonts w:ascii="Times New Roman" w:hAnsi="Times New Roman"/>
        </w:rPr>
        <w:t>¹, mainly under CC. These results demonstrate that temperature regimes modulate the effectiveness of RFPs, with AF and CC performing best in warmer conditions. This is likely because AF and CC generally enhance soil water retention—through improved drainage and deeper rooting systems, especially in AF—and protect bare soil from direct evaporation of limited precipitation. Additionally, by reducing soil sensitivity to erosion, they improve nutrient retention, making cash crops more resilient during periods of drought and intense rainfall</w:t>
      </w:r>
      <w:r>
        <w:rPr>
          <w:rFonts w:ascii="Times New Roman" w:hAnsi="Times New Roman"/>
          <w:vertAlign w:val="superscript"/>
        </w:rPr>
        <w:t>88,89</w:t>
      </w:r>
      <w:r>
        <w:rPr>
          <w:rFonts w:ascii="Times New Roman" w:hAnsi="Times New Roman"/>
        </w:rPr>
        <w:t xml:space="preserve">. </w:t>
      </w:r>
    </w:p>
    <w:p w14:paraId="124246FF" w14:textId="77777777" w:rsidR="00BC2A6D" w:rsidRDefault="00BC2A6D">
      <w:pPr>
        <w:pStyle w:val="Body"/>
        <w:spacing w:after="0" w:line="240" w:lineRule="auto"/>
        <w:jc w:val="both"/>
        <w:rPr>
          <w:rFonts w:ascii="Times New Roman" w:eastAsia="Times New Roman" w:hAnsi="Times New Roman" w:cs="Times New Roman"/>
        </w:rPr>
      </w:pPr>
    </w:p>
    <w:p w14:paraId="13AA63F4"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Conversely, the strong yield responses to OF under cooler conditions (&lt; 800°</w:t>
      </w:r>
      <w:r>
        <w:rPr>
          <w:rFonts w:ascii="Times New Roman" w:hAnsi="Times New Roman"/>
          <w:lang w:val="es-ES_tradnl"/>
        </w:rPr>
        <w:t>C y</w:t>
      </w:r>
      <w:r>
        <w:rPr>
          <w:rFonts w:ascii="Arial Unicode MS" w:hAnsi="Arial Unicode MS"/>
        </w:rPr>
        <w:t>⁻</w:t>
      </w:r>
      <w:r>
        <w:rPr>
          <w:rFonts w:ascii="Times New Roman" w:hAnsi="Times New Roman"/>
        </w:rPr>
        <w:t xml:space="preserve">¹) might reflect short-season varieties or early maturing systems. Such pattern suggests that OF practices may confer particular advantages in cooler or short-season environments, </w:t>
      </w:r>
      <w:proofErr w:type="gramStart"/>
      <w:r>
        <w:rPr>
          <w:rFonts w:ascii="Times New Roman" w:hAnsi="Times New Roman"/>
        </w:rPr>
        <w:t>where</w:t>
      </w:r>
      <w:proofErr w:type="gramEnd"/>
      <w:r>
        <w:rPr>
          <w:rFonts w:ascii="Times New Roman" w:hAnsi="Times New Roman"/>
        </w:rPr>
        <w:t xml:space="preserve"> thermal accumulation limits crop development. In such conditions, the gradual nutrient release from organic amendments aligns more closely with slower crop growth, enhancing nutrient use efficiency</w:t>
      </w:r>
      <w:r>
        <w:rPr>
          <w:rFonts w:ascii="Times New Roman" w:hAnsi="Times New Roman"/>
          <w:vertAlign w:val="superscript"/>
        </w:rPr>
        <w:t>90,91</w:t>
      </w:r>
      <w:r>
        <w:rPr>
          <w:rFonts w:ascii="Times New Roman" w:hAnsi="Times New Roman"/>
        </w:rPr>
        <w:t xml:space="preserve">. Improved soil structure and moisture retention under organic management can further buffer crops against thermal limitations </w:t>
      </w:r>
      <w:r>
        <w:rPr>
          <w:rFonts w:ascii="Times New Roman" w:hAnsi="Times New Roman"/>
          <w:vertAlign w:val="superscript"/>
        </w:rPr>
        <w:t>92</w:t>
      </w:r>
      <w:r>
        <w:rPr>
          <w:rFonts w:ascii="Times New Roman" w:hAnsi="Times New Roman"/>
        </w:rPr>
        <w:t xml:space="preserve">, while reduced pest and disease pressure in cooler climates minimizes reliance on synthetic pesticides. These findings underscore the importance of agroecological context in assessing the performance of farming systems. </w:t>
      </w:r>
    </w:p>
    <w:p w14:paraId="0AC94DC7" w14:textId="77777777" w:rsidR="00BC2A6D" w:rsidRDefault="00BC2A6D">
      <w:pPr>
        <w:pStyle w:val="Body"/>
        <w:spacing w:after="0" w:line="240" w:lineRule="auto"/>
        <w:jc w:val="both"/>
        <w:rPr>
          <w:rFonts w:ascii="Times New Roman" w:eastAsia="Times New Roman" w:hAnsi="Times New Roman" w:cs="Times New Roman"/>
        </w:rPr>
      </w:pPr>
    </w:p>
    <w:p w14:paraId="67B97F5E" w14:textId="77777777" w:rsidR="00BC2A6D" w:rsidRDefault="00000000">
      <w:pPr>
        <w:pStyle w:val="ListParagraph"/>
        <w:widowControl w:val="0"/>
        <w:numPr>
          <w:ilvl w:val="1"/>
          <w:numId w:val="4"/>
        </w:numPr>
        <w:spacing w:after="0" w:line="240" w:lineRule="auto"/>
        <w:jc w:val="both"/>
        <w:rPr>
          <w:rFonts w:ascii="Times New Roman" w:hAnsi="Times New Roman"/>
          <w:b/>
          <w:bCs/>
        </w:rPr>
      </w:pPr>
      <w:r>
        <w:rPr>
          <w:rFonts w:ascii="Times New Roman" w:hAnsi="Times New Roman"/>
          <w:b/>
          <w:bCs/>
        </w:rPr>
        <w:t>Crop yield change across soil properties</w:t>
      </w:r>
    </w:p>
    <w:p w14:paraId="52581C34" w14:textId="77777777" w:rsidR="00BC2A6D" w:rsidRDefault="00BC2A6D">
      <w:pPr>
        <w:pStyle w:val="Body"/>
        <w:spacing w:after="0" w:line="240" w:lineRule="auto"/>
        <w:jc w:val="both"/>
        <w:rPr>
          <w:rFonts w:ascii="Times New Roman" w:eastAsia="Times New Roman" w:hAnsi="Times New Roman" w:cs="Times New Roman"/>
        </w:rPr>
      </w:pPr>
    </w:p>
    <w:p w14:paraId="193ED5AD"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Yield responses RFPS varied markedly across soil properties (Fig. 2,4). When all RFPs were pooled (Fig. 2), the largest yield increases occurred in crops grown on low soil organic carbon (SOC &lt; 5 g kg</w:t>
      </w:r>
      <w:r>
        <w:rPr>
          <w:rFonts w:ascii="Arial Unicode MS" w:hAnsi="Arial Unicode MS"/>
        </w:rPr>
        <w:t>⁻</w:t>
      </w:r>
      <w:r>
        <w:rPr>
          <w:rFonts w:ascii="Times New Roman" w:hAnsi="Times New Roman"/>
        </w:rPr>
        <w:t>¹), coarse-textured, and acidic or alkaline soils. Substantial gains were also observed in soils with low to moderate phosphorus levels (P &lt; 21.4 mg kg</w:t>
      </w:r>
      <w:r>
        <w:rPr>
          <w:rFonts w:ascii="Arial Unicode MS" w:hAnsi="Arial Unicode MS"/>
        </w:rPr>
        <w:t>⁻</w:t>
      </w:r>
      <w:r>
        <w:rPr>
          <w:rFonts w:ascii="Times New Roman" w:hAnsi="Times New Roman"/>
        </w:rPr>
        <w:t>¹) and low to medium bulk density (BD &lt; 1.47 g cm</w:t>
      </w:r>
      <w:r>
        <w:rPr>
          <w:rFonts w:ascii="Arial Unicode MS" w:hAnsi="Arial Unicode MS"/>
        </w:rPr>
        <w:t>⁻</w:t>
      </w:r>
      <w:r>
        <w:rPr>
          <w:rFonts w:ascii="Times New Roman" w:hAnsi="Times New Roman"/>
        </w:rPr>
        <w:t xml:space="preserve">³), whereas crops on neutral pH soils tended to experience yield declines. </w:t>
      </w:r>
    </w:p>
    <w:p w14:paraId="1A981F13" w14:textId="77777777" w:rsidR="00BC2A6D" w:rsidRDefault="00BC2A6D">
      <w:pPr>
        <w:pStyle w:val="Body"/>
        <w:spacing w:after="0" w:line="240" w:lineRule="auto"/>
        <w:jc w:val="both"/>
        <w:rPr>
          <w:rFonts w:ascii="Times New Roman" w:eastAsia="Times New Roman" w:hAnsi="Times New Roman" w:cs="Times New Roman"/>
        </w:rPr>
      </w:pPr>
    </w:p>
    <w:p w14:paraId="58ECCB7B"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Across individual RFPs (Fig. 4), yield increased with decreasing bulk density, particularly under AF, CC, and OF. All RFPs except OF produced substantial yield gains in low-SOC soils, while under high-SOC conditions (&gt; 5 g kg</w:t>
      </w:r>
      <w:r>
        <w:rPr>
          <w:rFonts w:ascii="Arial Unicode MS" w:hAnsi="Arial Unicode MS"/>
        </w:rPr>
        <w:t>⁻</w:t>
      </w:r>
      <w:r>
        <w:rPr>
          <w:rFonts w:ascii="Times New Roman" w:hAnsi="Times New Roman"/>
        </w:rPr>
        <w:t>¹), AF and CC maintained smaller yet positive responses, indicating diminishing returns also in more fertile environments. These findings suggest that RFPs are particularly effective in nutrient-poor or structurally constrained soils, where enhancements in soil structure, nutrient cycling, and biological activity deliver the greatest yield benefits</w:t>
      </w:r>
      <w:r>
        <w:rPr>
          <w:rFonts w:ascii="Times New Roman" w:hAnsi="Times New Roman"/>
          <w:vertAlign w:val="superscript"/>
        </w:rPr>
        <w:t>15,93,94</w:t>
      </w:r>
      <w:r>
        <w:rPr>
          <w:rFonts w:ascii="Times New Roman" w:hAnsi="Times New Roman"/>
        </w:rPr>
        <w:t xml:space="preserve">. </w:t>
      </w:r>
    </w:p>
    <w:p w14:paraId="0F4714A3" w14:textId="77777777" w:rsidR="00BC2A6D" w:rsidRDefault="00BC2A6D">
      <w:pPr>
        <w:pStyle w:val="Body"/>
        <w:spacing w:after="0" w:line="240" w:lineRule="auto"/>
        <w:jc w:val="both"/>
        <w:rPr>
          <w:rFonts w:ascii="Times New Roman" w:eastAsia="Times New Roman" w:hAnsi="Times New Roman" w:cs="Times New Roman"/>
        </w:rPr>
      </w:pPr>
    </w:p>
    <w:p w14:paraId="34EF7AB8" w14:textId="77777777" w:rsidR="00BC2A6D" w:rsidRDefault="00000000">
      <w:pPr>
        <w:pStyle w:val="Body"/>
        <w:spacing w:after="0"/>
        <w:jc w:val="both"/>
      </w:pPr>
      <w:r>
        <w:rPr>
          <w:rFonts w:ascii="Times New Roman" w:hAnsi="Times New Roman"/>
        </w:rPr>
        <w:t>Soil texture and classification further influenced the magnitude of yield responses. Coarse-textured soils showed positive mean yield changes across all RFPs except OF, with significant effects under CC, supporting previous evidence that conservation practices enhance water retention and aggregation in sandy soils</w:t>
      </w:r>
      <w:r>
        <w:rPr>
          <w:rFonts w:ascii="Times New Roman" w:hAnsi="Times New Roman"/>
          <w:vertAlign w:val="superscript"/>
        </w:rPr>
        <w:t>95</w:t>
      </w:r>
      <w:r>
        <w:rPr>
          <w:rFonts w:ascii="Times New Roman" w:hAnsi="Times New Roman"/>
        </w:rPr>
        <w:t xml:space="preserve">. By soil type, the greatest mean yield increases were recorded in </w:t>
      </w:r>
      <w:proofErr w:type="spellStart"/>
      <w:r>
        <w:rPr>
          <w:rFonts w:ascii="Times New Roman" w:hAnsi="Times New Roman"/>
        </w:rPr>
        <w:t>Lixisols</w:t>
      </w:r>
      <w:proofErr w:type="spellEnd"/>
      <w:r>
        <w:rPr>
          <w:rFonts w:ascii="Times New Roman" w:hAnsi="Times New Roman"/>
        </w:rPr>
        <w:t xml:space="preserve">, </w:t>
      </w:r>
      <w:proofErr w:type="spellStart"/>
      <w:r>
        <w:rPr>
          <w:rFonts w:ascii="Times New Roman" w:hAnsi="Times New Roman"/>
        </w:rPr>
        <w:t>Arenosols</w:t>
      </w:r>
      <w:proofErr w:type="spellEnd"/>
      <w:r>
        <w:rPr>
          <w:rFonts w:ascii="Times New Roman" w:hAnsi="Times New Roman"/>
        </w:rPr>
        <w:t xml:space="preserve">, </w:t>
      </w:r>
      <w:proofErr w:type="spellStart"/>
      <w:r>
        <w:rPr>
          <w:rFonts w:ascii="Times New Roman" w:hAnsi="Times New Roman"/>
        </w:rPr>
        <w:t>Calcisols</w:t>
      </w:r>
      <w:proofErr w:type="spellEnd"/>
      <w:r>
        <w:rPr>
          <w:rFonts w:ascii="Times New Roman" w:hAnsi="Times New Roman"/>
        </w:rPr>
        <w:t xml:space="preserve">, </w:t>
      </w:r>
      <w:proofErr w:type="spellStart"/>
      <w:r>
        <w:rPr>
          <w:rFonts w:ascii="Times New Roman" w:hAnsi="Times New Roman"/>
        </w:rPr>
        <w:t>Regosols</w:t>
      </w:r>
      <w:proofErr w:type="spellEnd"/>
      <w:r>
        <w:rPr>
          <w:rFonts w:ascii="Times New Roman" w:hAnsi="Times New Roman"/>
        </w:rPr>
        <w:t xml:space="preserve">, </w:t>
      </w:r>
      <w:proofErr w:type="spellStart"/>
      <w:r>
        <w:rPr>
          <w:rFonts w:ascii="Times New Roman" w:hAnsi="Times New Roman"/>
        </w:rPr>
        <w:t>Acrisols</w:t>
      </w:r>
      <w:proofErr w:type="spellEnd"/>
      <w:r>
        <w:rPr>
          <w:rFonts w:ascii="Times New Roman" w:hAnsi="Times New Roman"/>
        </w:rPr>
        <w:t xml:space="preserve">, </w:t>
      </w:r>
      <w:proofErr w:type="spellStart"/>
      <w:r>
        <w:rPr>
          <w:rFonts w:ascii="Times New Roman" w:hAnsi="Times New Roman"/>
        </w:rPr>
        <w:t>Luvisols</w:t>
      </w:r>
      <w:proofErr w:type="spellEnd"/>
      <w:r>
        <w:rPr>
          <w:rFonts w:ascii="Times New Roman" w:hAnsi="Times New Roman"/>
        </w:rPr>
        <w:t xml:space="preserve">, and </w:t>
      </w:r>
      <w:proofErr w:type="spellStart"/>
      <w:r>
        <w:rPr>
          <w:rFonts w:ascii="Times New Roman" w:hAnsi="Times New Roman"/>
        </w:rPr>
        <w:t>Kastanozems</w:t>
      </w:r>
      <w:proofErr w:type="spellEnd"/>
      <w:r>
        <w:rPr>
          <w:rFonts w:ascii="Times New Roman" w:hAnsi="Times New Roman"/>
        </w:rPr>
        <w:t xml:space="preserve">, while </w:t>
      </w:r>
      <w:proofErr w:type="spellStart"/>
      <w:r>
        <w:rPr>
          <w:rFonts w:ascii="Times New Roman" w:hAnsi="Times New Roman"/>
        </w:rPr>
        <w:t>Alisols</w:t>
      </w:r>
      <w:proofErr w:type="spellEnd"/>
      <w:r>
        <w:rPr>
          <w:rFonts w:ascii="Times New Roman" w:hAnsi="Times New Roman"/>
        </w:rPr>
        <w:t xml:space="preserve">, </w:t>
      </w:r>
      <w:proofErr w:type="spellStart"/>
      <w:r>
        <w:rPr>
          <w:rFonts w:ascii="Times New Roman" w:hAnsi="Times New Roman"/>
        </w:rPr>
        <w:t>Gleysols</w:t>
      </w:r>
      <w:proofErr w:type="spellEnd"/>
      <w:r>
        <w:rPr>
          <w:rFonts w:ascii="Times New Roman" w:hAnsi="Times New Roman"/>
        </w:rPr>
        <w:t xml:space="preserve">, and Phaeozems </w:t>
      </w:r>
      <w:r>
        <w:rPr>
          <w:rFonts w:ascii="Times New Roman" w:hAnsi="Times New Roman"/>
        </w:rPr>
        <w:lastRenderedPageBreak/>
        <w:t xml:space="preserve">showed declines (Fig. 2). Within this pattern, AF produced notable gains in </w:t>
      </w:r>
      <w:proofErr w:type="spellStart"/>
      <w:r>
        <w:rPr>
          <w:rFonts w:ascii="Times New Roman" w:hAnsi="Times New Roman"/>
        </w:rPr>
        <w:t>Acrisols</w:t>
      </w:r>
      <w:proofErr w:type="spellEnd"/>
      <w:r>
        <w:rPr>
          <w:rFonts w:ascii="Times New Roman" w:hAnsi="Times New Roman"/>
        </w:rPr>
        <w:t xml:space="preserve">, CC in </w:t>
      </w:r>
      <w:proofErr w:type="spellStart"/>
      <w:r>
        <w:rPr>
          <w:rFonts w:ascii="Times New Roman" w:hAnsi="Times New Roman"/>
        </w:rPr>
        <w:t>Cambisols</w:t>
      </w:r>
      <w:proofErr w:type="spellEnd"/>
      <w:r>
        <w:rPr>
          <w:rFonts w:ascii="Times New Roman" w:hAnsi="Times New Roman"/>
        </w:rPr>
        <w:t xml:space="preserve">, </w:t>
      </w:r>
      <w:proofErr w:type="spellStart"/>
      <w:r>
        <w:rPr>
          <w:rFonts w:ascii="Times New Roman" w:hAnsi="Times New Roman"/>
        </w:rPr>
        <w:t>Luvisols</w:t>
      </w:r>
      <w:proofErr w:type="spellEnd"/>
      <w:r>
        <w:rPr>
          <w:rFonts w:ascii="Times New Roman" w:hAnsi="Times New Roman"/>
        </w:rPr>
        <w:t xml:space="preserve">, and </w:t>
      </w:r>
      <w:proofErr w:type="spellStart"/>
      <w:r>
        <w:rPr>
          <w:rFonts w:ascii="Times New Roman" w:hAnsi="Times New Roman"/>
        </w:rPr>
        <w:t>Vertisols</w:t>
      </w:r>
      <w:proofErr w:type="spellEnd"/>
      <w:r>
        <w:rPr>
          <w:rFonts w:ascii="Times New Roman" w:hAnsi="Times New Roman"/>
        </w:rPr>
        <w:t xml:space="preserve">, NT in </w:t>
      </w:r>
      <w:proofErr w:type="spellStart"/>
      <w:r>
        <w:rPr>
          <w:rFonts w:ascii="Times New Roman" w:hAnsi="Times New Roman"/>
        </w:rPr>
        <w:t>Alisols</w:t>
      </w:r>
      <w:proofErr w:type="spellEnd"/>
      <w:r>
        <w:rPr>
          <w:rFonts w:ascii="Times New Roman" w:hAnsi="Times New Roman"/>
        </w:rPr>
        <w:t xml:space="preserve">, </w:t>
      </w:r>
      <w:proofErr w:type="spellStart"/>
      <w:r>
        <w:rPr>
          <w:rFonts w:ascii="Times New Roman" w:hAnsi="Times New Roman"/>
        </w:rPr>
        <w:t>Fluvisols</w:t>
      </w:r>
      <w:proofErr w:type="spellEnd"/>
      <w:r>
        <w:rPr>
          <w:rFonts w:ascii="Times New Roman" w:hAnsi="Times New Roman"/>
        </w:rPr>
        <w:t xml:space="preserve">, and Phaeozems, and OF in </w:t>
      </w:r>
      <w:proofErr w:type="spellStart"/>
      <w:r>
        <w:rPr>
          <w:rFonts w:ascii="Times New Roman" w:hAnsi="Times New Roman"/>
        </w:rPr>
        <w:t>Ferralsols</w:t>
      </w:r>
      <w:proofErr w:type="spellEnd"/>
      <w:r>
        <w:rPr>
          <w:rFonts w:ascii="Times New Roman" w:hAnsi="Times New Roman"/>
        </w:rPr>
        <w:t xml:space="preserve"> and Phaeozems (Fig. 4), indicating that specific practices interact differently with local soil constraints such as drainage, mineralogy, or nutrient availability. Consistent with the climate analysis, AF and CC showed the strongest responses in coarse-textured soils typical of arid environments, reinforcing their role in improving soil water retention and stability under dry conditions.</w:t>
      </w:r>
    </w:p>
    <w:p w14:paraId="6243C5F3" w14:textId="77777777" w:rsidR="00BC2A6D" w:rsidRDefault="00BC2A6D">
      <w:pPr>
        <w:pStyle w:val="Body"/>
        <w:spacing w:after="0" w:line="240" w:lineRule="auto"/>
        <w:jc w:val="both"/>
        <w:rPr>
          <w:rFonts w:ascii="Times New Roman" w:eastAsia="Times New Roman" w:hAnsi="Times New Roman" w:cs="Times New Roman"/>
        </w:rPr>
      </w:pPr>
    </w:p>
    <w:p w14:paraId="5D0DE4B3"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Increasing phosphorus availability generally enhanced yield, although high P (&gt; 21.4 mg kg</w:t>
      </w:r>
      <w:r>
        <w:rPr>
          <w:rFonts w:ascii="Arial Unicode MS" w:hAnsi="Arial Unicode MS"/>
        </w:rPr>
        <w:t>⁻</w:t>
      </w:r>
      <w:r>
        <w:rPr>
          <w:rFonts w:ascii="Times New Roman" w:hAnsi="Times New Roman"/>
        </w:rPr>
        <w:t>¹) resulted in yield declines under CC, NT, and OF, suggesting reduced relative benefits in already fertile systems. Conversely, AF systems sustained yield increases even at high phosphorus levels (&gt; 21.4 mg kg</w:t>
      </w:r>
      <w:r>
        <w:rPr>
          <w:rFonts w:ascii="Arial Unicode MS" w:hAnsi="Arial Unicode MS"/>
        </w:rPr>
        <w:t>⁻</w:t>
      </w:r>
      <w:r>
        <w:rPr>
          <w:rFonts w:ascii="Times New Roman" w:hAnsi="Times New Roman"/>
        </w:rPr>
        <w:t>¹). This aligns with research showing that while AF systems enhance nutrient cycling, they still benefit from phosphorus supplementation, especially in P-deficient soils. Phosphorus is often a limiting nutrient in weathered tropical soils because it becomes fixed and unavailable to plants. However, its availability is crucial for both plant growth and biological nitrogen fixation, particularly in leguminous tree species commonly found in AF systems</w:t>
      </w:r>
      <w:r>
        <w:rPr>
          <w:rFonts w:ascii="Times New Roman" w:hAnsi="Times New Roman"/>
          <w:vertAlign w:val="superscript"/>
        </w:rPr>
        <w:t>96,97</w:t>
      </w:r>
      <w:r>
        <w:rPr>
          <w:rFonts w:ascii="Times New Roman" w:hAnsi="Times New Roman"/>
        </w:rPr>
        <w:t>. Studies have shown that P inputs can stimulate microbial activity, mycorrhizal associations, and root development, resulting in greater nutrient uptake and biomass production</w:t>
      </w:r>
      <w:r>
        <w:rPr>
          <w:rFonts w:ascii="Times New Roman" w:hAnsi="Times New Roman"/>
          <w:vertAlign w:val="superscript"/>
        </w:rPr>
        <w:t>98,99</w:t>
      </w:r>
      <w:r>
        <w:rPr>
          <w:rFonts w:ascii="Times New Roman" w:hAnsi="Times New Roman"/>
        </w:rPr>
        <w:t xml:space="preserve">. Thus, the 38% (31.6-43.9%) yield increase under high P in AF systems likely reflects the combined effects of improved nutrient acquisition, soil structure, and biological activity, supporting the idea that targeted P application in nutrient-poor soils can enhance the productivity of AF systems. </w:t>
      </w:r>
    </w:p>
    <w:p w14:paraId="790B96AB" w14:textId="77777777" w:rsidR="00BC2A6D" w:rsidRDefault="00000000">
      <w:pPr>
        <w:pStyle w:val="NormalWeb"/>
        <w:jc w:val="both"/>
        <w:rPr>
          <w:sz w:val="22"/>
          <w:szCs w:val="22"/>
        </w:rPr>
      </w:pPr>
      <w:r>
        <w:rPr>
          <w:noProof/>
          <w:sz w:val="22"/>
          <w:szCs w:val="22"/>
        </w:rPr>
        <w:lastRenderedPageBreak/>
        <w:drawing>
          <wp:inline distT="0" distB="0" distL="0" distR="0" wp14:anchorId="7722238C" wp14:editId="73BAB9DA">
            <wp:extent cx="5730875" cy="5290185"/>
            <wp:effectExtent l="0" t="0" r="0" b="0"/>
            <wp:docPr id="1073741828" name="officeArt object" descr="A chart of different types of soil&#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8" name="A chart of different types of soilAI-generated content may be incorrect." descr="A chart of different types of soilAI-generated content may be incorrect."/>
                    <pic:cNvPicPr>
                      <a:picLocks noChangeAspect="1"/>
                    </pic:cNvPicPr>
                  </pic:nvPicPr>
                  <pic:blipFill>
                    <a:blip r:embed="rId15"/>
                    <a:stretch>
                      <a:fillRect/>
                    </a:stretch>
                  </pic:blipFill>
                  <pic:spPr>
                    <a:xfrm>
                      <a:off x="0" y="0"/>
                      <a:ext cx="5730875" cy="5290185"/>
                    </a:xfrm>
                    <a:prstGeom prst="rect">
                      <a:avLst/>
                    </a:prstGeom>
                    <a:ln w="12700" cap="flat">
                      <a:noFill/>
                      <a:miter lim="400000"/>
                    </a:ln>
                    <a:effectLst/>
                  </pic:spPr>
                </pic:pic>
              </a:graphicData>
            </a:graphic>
          </wp:inline>
        </w:drawing>
      </w:r>
    </w:p>
    <w:p w14:paraId="4CA010B0" w14:textId="77777777" w:rsidR="00BC2A6D" w:rsidRDefault="00000000">
      <w:pPr>
        <w:pStyle w:val="NoSpacing"/>
        <w:jc w:val="both"/>
        <w:rPr>
          <w:rFonts w:ascii="Times New Roman" w:eastAsia="Times New Roman" w:hAnsi="Times New Roman" w:cs="Times New Roman"/>
        </w:rPr>
      </w:pPr>
      <w:r>
        <w:rPr>
          <w:rFonts w:ascii="Times New Roman" w:hAnsi="Times New Roman"/>
        </w:rPr>
        <w:t xml:space="preserve">Figure 4: Distribution of effect size across soil properties for different regenerative agriculture practices. Points show means; error bars are 95% CIs. Categories whose 95% CIs exclude 0 (vertical red line) differ significantly from controls. P: Phosphorus, SOC: soil organic carbon, BD: bulk density. </w:t>
      </w:r>
    </w:p>
    <w:p w14:paraId="33ACFF70" w14:textId="77777777" w:rsidR="00BC2A6D" w:rsidRDefault="00BC2A6D">
      <w:pPr>
        <w:pStyle w:val="Body"/>
        <w:tabs>
          <w:tab w:val="left" w:pos="720"/>
        </w:tabs>
        <w:spacing w:after="0" w:line="240" w:lineRule="auto"/>
        <w:jc w:val="both"/>
        <w:rPr>
          <w:rFonts w:ascii="Times New Roman" w:eastAsia="Times New Roman" w:hAnsi="Times New Roman" w:cs="Times New Roman"/>
        </w:rPr>
      </w:pPr>
    </w:p>
    <w:p w14:paraId="0ED03AD1" w14:textId="77777777" w:rsidR="00BC2A6D" w:rsidRDefault="00000000">
      <w:pPr>
        <w:pStyle w:val="ListParagraph"/>
        <w:numPr>
          <w:ilvl w:val="1"/>
          <w:numId w:val="4"/>
        </w:numPr>
        <w:rPr>
          <w:rFonts w:ascii="Times New Roman" w:hAnsi="Times New Roman"/>
          <w:b/>
          <w:bCs/>
        </w:rPr>
      </w:pPr>
      <w:r>
        <w:rPr>
          <w:rFonts w:ascii="Times New Roman" w:hAnsi="Times New Roman"/>
          <w:b/>
          <w:bCs/>
        </w:rPr>
        <w:t>Crop yield change across topographic variables</w:t>
      </w:r>
    </w:p>
    <w:p w14:paraId="656D1035" w14:textId="77777777" w:rsidR="00BC2A6D" w:rsidRDefault="00000000">
      <w:pPr>
        <w:pStyle w:val="Body"/>
        <w:widowControl w:val="0"/>
        <w:spacing w:after="0" w:line="260" w:lineRule="exact"/>
        <w:jc w:val="both"/>
        <w:rPr>
          <w:rFonts w:ascii="Times New Roman" w:eastAsia="Times New Roman" w:hAnsi="Times New Roman" w:cs="Times New Roman"/>
        </w:rPr>
      </w:pPr>
      <w:r>
        <w:rPr>
          <w:rFonts w:ascii="Times New Roman" w:hAnsi="Times New Roman"/>
        </w:rPr>
        <w:t>Yield responses to RFPs varied significantly with topographic conditions, including elevation, slope, and landform (Fig. 2,5). When all RFPs were pooled (Fig. 2), significant yield increases were observed at elevations &gt; 250 m, with the highest mean yield gains recorded in high-elevation landforms ranging from mountain valley slopes to mountain summits. Yield effects were generally positive across landforms, except in high plains, valley slopes, and moderate hills, while gentle (1–5%) and strong slopes (15–30%) exhibited the most pronounced yield improvements. These findings align with earlier studies demonstrating that yield responses to RFPs are strongly modulated by topographic gradients due to variations in soil moisture, erosion risk, and microclimate</w:t>
      </w:r>
      <w:r>
        <w:rPr>
          <w:rFonts w:ascii="Times New Roman" w:hAnsi="Times New Roman"/>
          <w:vertAlign w:val="superscript"/>
        </w:rPr>
        <w:t>100,10</w:t>
      </w:r>
      <w:r>
        <w:rPr>
          <w:rFonts w:ascii="Times New Roman" w:hAnsi="Times New Roman"/>
        </w:rPr>
        <w:t>. The consistent yield gains on gentle (1–5%, +3.4%) and strong slopes (15–30%, +11%) across the dataset indicate that RFPs improve infiltration, reduce runoff, and stabilize soil productivity under diverse slope conditions.</w:t>
      </w:r>
    </w:p>
    <w:p w14:paraId="2413A882" w14:textId="77777777" w:rsidR="00BC2A6D" w:rsidRDefault="00BC2A6D">
      <w:pPr>
        <w:pStyle w:val="Body"/>
        <w:widowControl w:val="0"/>
        <w:spacing w:after="0" w:line="260" w:lineRule="exact"/>
        <w:jc w:val="both"/>
        <w:rPr>
          <w:rFonts w:ascii="Times New Roman" w:eastAsia="Times New Roman" w:hAnsi="Times New Roman" w:cs="Times New Roman"/>
        </w:rPr>
      </w:pPr>
    </w:p>
    <w:p w14:paraId="2134423E" w14:textId="77777777" w:rsidR="00BC2A6D" w:rsidRDefault="00000000">
      <w:pPr>
        <w:pStyle w:val="Body"/>
        <w:widowControl w:val="0"/>
        <w:spacing w:after="0" w:line="260" w:lineRule="exact"/>
        <w:jc w:val="both"/>
        <w:rPr>
          <w:rFonts w:ascii="Times New Roman" w:eastAsia="Times New Roman" w:hAnsi="Times New Roman" w:cs="Times New Roman"/>
        </w:rPr>
      </w:pPr>
      <w:r>
        <w:rPr>
          <w:rFonts w:ascii="Times New Roman" w:hAnsi="Times New Roman"/>
        </w:rPr>
        <w:t xml:space="preserve">At the level of specific RFPs, AF was most effective on level to gently sloping areas (&lt; 15%) </w:t>
      </w:r>
      <w:proofErr w:type="gramStart"/>
      <w:r>
        <w:rPr>
          <w:rFonts w:ascii="Times New Roman" w:hAnsi="Times New Roman"/>
        </w:rPr>
        <w:t>and also</w:t>
      </w:r>
      <w:proofErr w:type="gramEnd"/>
      <w:r>
        <w:rPr>
          <w:rFonts w:ascii="Times New Roman" w:hAnsi="Times New Roman"/>
        </w:rPr>
        <w:t xml:space="preserve"> </w:t>
      </w:r>
      <w:r>
        <w:rPr>
          <w:rFonts w:ascii="Times New Roman" w:hAnsi="Times New Roman"/>
        </w:rPr>
        <w:lastRenderedPageBreak/>
        <w:t>in high-elevation areas such as mountain slopes and high plains (&gt; 250 m), likely due to stable soil conditions and effective tree-crop interactions</w:t>
      </w:r>
      <w:r>
        <w:rPr>
          <w:rFonts w:ascii="Times New Roman" w:hAnsi="Times New Roman"/>
          <w:vertAlign w:val="superscript"/>
        </w:rPr>
        <w:t>100</w:t>
      </w:r>
      <w:r>
        <w:rPr>
          <w:rFonts w:ascii="Times New Roman" w:hAnsi="Times New Roman"/>
        </w:rPr>
        <w:t xml:space="preserve"> in combination with improved drainage and reduced erosion</w:t>
      </w:r>
      <w:r>
        <w:rPr>
          <w:rFonts w:ascii="Times New Roman" w:hAnsi="Times New Roman"/>
          <w:vertAlign w:val="superscript"/>
        </w:rPr>
        <w:t>101</w:t>
      </w:r>
      <w:r>
        <w:rPr>
          <w:rFonts w:ascii="Times New Roman" w:hAnsi="Times New Roman"/>
        </w:rPr>
        <w:t>. OF also performed well on moderate highland slopes, likely due to enhanced nutrient cycling. CC showed strong yield gains on both gentle and steep slopes, benefiting from improved erosion control and soil structure.</w:t>
      </w:r>
    </w:p>
    <w:p w14:paraId="6CDE1525" w14:textId="77777777" w:rsidR="00BC2A6D" w:rsidRDefault="00BC2A6D">
      <w:pPr>
        <w:pStyle w:val="Body"/>
        <w:widowControl w:val="0"/>
        <w:spacing w:after="0" w:line="260" w:lineRule="exact"/>
        <w:jc w:val="both"/>
        <w:rPr>
          <w:rFonts w:ascii="Times New Roman" w:eastAsia="Times New Roman" w:hAnsi="Times New Roman" w:cs="Times New Roman"/>
        </w:rPr>
      </w:pPr>
    </w:p>
    <w:p w14:paraId="1EDE175E" w14:textId="77777777" w:rsidR="00BC2A6D" w:rsidRDefault="00000000">
      <w:pPr>
        <w:pStyle w:val="Body"/>
        <w:widowControl w:val="0"/>
        <w:spacing w:after="0" w:line="260" w:lineRule="exact"/>
        <w:jc w:val="both"/>
        <w:rPr>
          <w:rFonts w:ascii="Times New Roman" w:eastAsia="Times New Roman" w:hAnsi="Times New Roman" w:cs="Times New Roman"/>
        </w:rPr>
      </w:pPr>
      <w:r>
        <w:rPr>
          <w:rFonts w:ascii="Times New Roman" w:hAnsi="Times New Roman"/>
        </w:rPr>
        <w:t>In lower-elevation landscapes, CC and NT systems also resulted in significant yield increases, particularly within dissected terrace/fan/plateau (</w:t>
      </w:r>
      <w:proofErr w:type="spellStart"/>
      <w:r>
        <w:rPr>
          <w:rFonts w:ascii="Times New Roman" w:hAnsi="Times New Roman"/>
        </w:rPr>
        <w:t>Tfphi_dis</w:t>
      </w:r>
      <w:proofErr w:type="spellEnd"/>
      <w:r>
        <w:rPr>
          <w:rFonts w:ascii="Times New Roman" w:hAnsi="Times New Roman"/>
        </w:rPr>
        <w:t>), low-surface terrace/fan/plateau (</w:t>
      </w:r>
      <w:proofErr w:type="spellStart"/>
      <w:r>
        <w:rPr>
          <w:rFonts w:ascii="Times New Roman" w:hAnsi="Times New Roman"/>
        </w:rPr>
        <w:t>Tfplw_surf</w:t>
      </w:r>
      <w:proofErr w:type="spellEnd"/>
      <w:r>
        <w:rPr>
          <w:rFonts w:ascii="Times New Roman" w:hAnsi="Times New Roman"/>
        </w:rPr>
        <w:t>), and high plain (</w:t>
      </w:r>
      <w:proofErr w:type="spellStart"/>
      <w:r>
        <w:rPr>
          <w:rFonts w:ascii="Times New Roman" w:hAnsi="Times New Roman"/>
        </w:rPr>
        <w:t>Hi_plain</w:t>
      </w:r>
      <w:proofErr w:type="spellEnd"/>
      <w:r>
        <w:rPr>
          <w:rFonts w:ascii="Times New Roman" w:hAnsi="Times New Roman"/>
        </w:rPr>
        <w:t>) regions for CC, and within valley slopes (</w:t>
      </w:r>
      <w:proofErr w:type="spellStart"/>
      <w:r>
        <w:rPr>
          <w:rFonts w:ascii="Times New Roman" w:hAnsi="Times New Roman"/>
        </w:rPr>
        <w:t>Val_sl</w:t>
      </w:r>
      <w:proofErr w:type="spellEnd"/>
      <w:r>
        <w:rPr>
          <w:rFonts w:ascii="Times New Roman" w:hAnsi="Times New Roman"/>
        </w:rPr>
        <w:t xml:space="preserve">) and dissected terraces for NT. These patterns suggest that both practices effectively conserve moisture and prevent degradation by stabilizing sediment and organic matter in depositional zones. Evidence from field experiments supports this mechanism: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  &gt;&lt;Author&gt;Futerman&lt;/Author&gt;&lt;Year&gt;2025&lt;/Year&gt;&lt;RecNum&gt;400&lt;/RecNum&gt;&lt;Prefix&gt;&lt;/Prefix&gt;&lt;Suffix&gt;&lt;/Suffix&gt;&lt;Pages&gt;&lt;/Pages&gt;&lt;DisplayText&gt;Futerman, et al. 102&lt;/DisplayText&gt;&lt;record&gt;&lt;rec-number&gt;400&lt;/rec-number&gt;&lt;foreign-keys&gt;&lt;key app="EN" db-id="5va0eddeq9tsxle0sr8xd2thpfv2t0a0dfxs" timestamp="1754289716"&gt;400&lt;/key&gt;&lt;/foreign-keys&gt;&lt;ref-type name="Journal Article"&gt;17&lt;/ref-type&gt;&lt;contributors&gt;&lt;authors&gt;&lt;author&gt;Futerman, Simon Ian&lt;/author&gt;&lt;author&gt;Cohen, Yafit&lt;/author&gt;&lt;author&gt;Laor, Yael&lt;/author&gt;&lt;author&gt;Argaman, Eli&lt;/author&gt;&lt;author&gt;Aharon, Shlomi&lt;/author&gt;&lt;author&gt;Eshel, Gil&lt;/author&gt;&lt;/authors&gt;&lt;/contributors&gt;&lt;titles&gt;&lt;title&gt;Assessing field-scale rill erosion mitigation by cover crops in arable land using drone image analysis&lt;/title&gt;&lt;secondary-title&gt;Soil and Tillage Research&lt;/secondary-title&gt;&lt;/titles&gt;&lt;periodical&gt;&lt;full-title&gt;Soil and Tillage Research&lt;/full-title&gt;&lt;/periodical&gt;&lt;pages&gt;106341&lt;/pages&gt;&lt;volume&gt;246&lt;/volume&gt;&lt;dates&gt;&lt;year&gt;2025&lt;/year&gt;&lt;/dates&gt;&lt;isbn&gt;0167-1987&lt;/isbn&gt;&lt;urls/&gt;&lt;/record&gt;&lt;/Cite&gt;&lt;/EndNote&gt;</w:instrText>
      </w:r>
      <w:r>
        <w:rPr>
          <w:rFonts w:ascii="Times New Roman" w:eastAsia="Times New Roman" w:hAnsi="Times New Roman" w:cs="Times New Roman"/>
        </w:rPr>
        <w:fldChar w:fldCharType="separate"/>
      </w:r>
      <w:r>
        <w:rPr>
          <w:rFonts w:ascii="Times New Roman" w:hAnsi="Times New Roman"/>
          <w:lang w:val="pt-PT"/>
        </w:rPr>
        <w:t>Futerman, et al. 102</w:t>
      </w:r>
      <w:r>
        <w:rPr>
          <w:rFonts w:ascii="Times New Roman" w:eastAsia="Times New Roman" w:hAnsi="Times New Roman" w:cs="Times New Roman"/>
        </w:rPr>
        <w:fldChar w:fldCharType="end"/>
      </w:r>
      <w:r>
        <w:rPr>
          <w:rFonts w:ascii="Times New Roman" w:hAnsi="Times New Roman"/>
        </w:rPr>
        <w:t xml:space="preserve"> reported a 29–58% decrease in rill erosion and corresponding improvements in soil structure and infiltration under CC compared with bare soil. Likewise, NT combined with terrace systems has been shown to reduce surface runoff by over 90%, enhancing moisture storage and stabilizing yields during droughts and intense rainfall events s</w:t>
      </w:r>
      <w:r>
        <w:rPr>
          <w:rFonts w:ascii="Times New Roman" w:hAnsi="Times New Roman"/>
          <w:vertAlign w:val="superscript"/>
        </w:rPr>
        <w:t>103,104</w:t>
      </w:r>
      <w:r>
        <w:rPr>
          <w:rFonts w:ascii="Times New Roman" w:hAnsi="Times New Roman"/>
        </w:rPr>
        <w:t xml:space="preserve">. By trapping upslope sediment and organic matter, CC and NT further enrich valley bottoms and terraces with nutrients, sustaining fertility and long-term productivity. </w:t>
      </w:r>
    </w:p>
    <w:p w14:paraId="49332C6B" w14:textId="77777777" w:rsidR="00BC2A6D" w:rsidRDefault="00BC2A6D">
      <w:pPr>
        <w:pStyle w:val="NoSpacing"/>
        <w:jc w:val="both"/>
        <w:rPr>
          <w:rFonts w:ascii="Times New Roman" w:eastAsia="Times New Roman" w:hAnsi="Times New Roman" w:cs="Times New Roman"/>
        </w:rPr>
      </w:pPr>
    </w:p>
    <w:p w14:paraId="4B3BD259" w14:textId="77777777" w:rsidR="00BC2A6D" w:rsidRDefault="00BC2A6D">
      <w:pPr>
        <w:pStyle w:val="NoSpacing"/>
        <w:jc w:val="both"/>
        <w:rPr>
          <w:rFonts w:ascii="Times New Roman" w:eastAsia="Times New Roman" w:hAnsi="Times New Roman" w:cs="Times New Roman"/>
        </w:rPr>
      </w:pPr>
    </w:p>
    <w:p w14:paraId="51017321" w14:textId="77777777" w:rsidR="00BC2A6D" w:rsidRDefault="00BC2A6D">
      <w:pPr>
        <w:pStyle w:val="NoSpacing"/>
        <w:jc w:val="both"/>
        <w:rPr>
          <w:rFonts w:ascii="Times New Roman" w:eastAsia="Times New Roman" w:hAnsi="Times New Roman" w:cs="Times New Roman"/>
        </w:rPr>
      </w:pPr>
    </w:p>
    <w:p w14:paraId="3FAA87D0" w14:textId="77777777" w:rsidR="00BC2A6D" w:rsidRDefault="00BC2A6D">
      <w:pPr>
        <w:pStyle w:val="NoSpacing"/>
        <w:jc w:val="both"/>
        <w:rPr>
          <w:rFonts w:ascii="Times New Roman" w:eastAsia="Times New Roman" w:hAnsi="Times New Roman" w:cs="Times New Roman"/>
        </w:rPr>
      </w:pPr>
    </w:p>
    <w:p w14:paraId="0C2913B4" w14:textId="77777777" w:rsidR="00BC2A6D" w:rsidRDefault="00BC2A6D">
      <w:pPr>
        <w:pStyle w:val="NoSpacing"/>
        <w:jc w:val="both"/>
        <w:rPr>
          <w:rFonts w:ascii="Times New Roman" w:eastAsia="Times New Roman" w:hAnsi="Times New Roman" w:cs="Times New Roman"/>
        </w:rPr>
      </w:pPr>
    </w:p>
    <w:p w14:paraId="1EE58B67" w14:textId="77777777" w:rsidR="00BC2A6D" w:rsidRDefault="00BC2A6D">
      <w:pPr>
        <w:pStyle w:val="NoSpacing"/>
        <w:jc w:val="both"/>
        <w:rPr>
          <w:rFonts w:ascii="Times New Roman" w:eastAsia="Times New Roman" w:hAnsi="Times New Roman" w:cs="Times New Roman"/>
        </w:rPr>
      </w:pPr>
    </w:p>
    <w:p w14:paraId="6721ABEF" w14:textId="77777777" w:rsidR="00BC2A6D" w:rsidRDefault="00BC2A6D">
      <w:pPr>
        <w:pStyle w:val="NoSpacing"/>
        <w:jc w:val="both"/>
        <w:rPr>
          <w:rFonts w:ascii="Times New Roman" w:eastAsia="Times New Roman" w:hAnsi="Times New Roman" w:cs="Times New Roman"/>
        </w:rPr>
      </w:pPr>
    </w:p>
    <w:p w14:paraId="11CDCE89" w14:textId="77777777" w:rsidR="00BC2A6D" w:rsidRDefault="00BC2A6D">
      <w:pPr>
        <w:pStyle w:val="NoSpacing"/>
        <w:jc w:val="both"/>
        <w:rPr>
          <w:rFonts w:ascii="Times New Roman" w:eastAsia="Times New Roman" w:hAnsi="Times New Roman" w:cs="Times New Roman"/>
        </w:rPr>
      </w:pPr>
    </w:p>
    <w:p w14:paraId="1F792807" w14:textId="77777777" w:rsidR="00BC2A6D" w:rsidRDefault="00BC2A6D">
      <w:pPr>
        <w:pStyle w:val="NoSpacing"/>
        <w:jc w:val="both"/>
        <w:rPr>
          <w:rFonts w:ascii="Times New Roman" w:eastAsia="Times New Roman" w:hAnsi="Times New Roman" w:cs="Times New Roman"/>
        </w:rPr>
      </w:pPr>
    </w:p>
    <w:p w14:paraId="0601483F" w14:textId="77777777" w:rsidR="00BC2A6D" w:rsidRDefault="00BC2A6D">
      <w:pPr>
        <w:pStyle w:val="NoSpacing"/>
        <w:jc w:val="both"/>
        <w:rPr>
          <w:rFonts w:ascii="Times New Roman" w:eastAsia="Times New Roman" w:hAnsi="Times New Roman" w:cs="Times New Roman"/>
        </w:rPr>
      </w:pPr>
    </w:p>
    <w:p w14:paraId="7A3D5919" w14:textId="77777777" w:rsidR="00BC2A6D" w:rsidRDefault="00BC2A6D">
      <w:pPr>
        <w:pStyle w:val="NoSpacing"/>
        <w:jc w:val="both"/>
        <w:rPr>
          <w:rFonts w:ascii="Times New Roman" w:eastAsia="Times New Roman" w:hAnsi="Times New Roman" w:cs="Times New Roman"/>
        </w:rPr>
      </w:pPr>
    </w:p>
    <w:p w14:paraId="1E900779" w14:textId="77777777" w:rsidR="00BC2A6D" w:rsidRDefault="00BC2A6D">
      <w:pPr>
        <w:pStyle w:val="NoSpacing"/>
        <w:jc w:val="both"/>
        <w:rPr>
          <w:rFonts w:ascii="Times New Roman" w:eastAsia="Times New Roman" w:hAnsi="Times New Roman" w:cs="Times New Roman"/>
        </w:rPr>
      </w:pPr>
    </w:p>
    <w:p w14:paraId="167B7C4F" w14:textId="77777777" w:rsidR="00BC2A6D" w:rsidRDefault="00BC2A6D">
      <w:pPr>
        <w:pStyle w:val="NoSpacing"/>
        <w:jc w:val="both"/>
        <w:rPr>
          <w:rFonts w:ascii="Times New Roman" w:eastAsia="Times New Roman" w:hAnsi="Times New Roman" w:cs="Times New Roman"/>
        </w:rPr>
      </w:pPr>
    </w:p>
    <w:p w14:paraId="1A5CA3E4" w14:textId="77777777" w:rsidR="00BC2A6D" w:rsidRDefault="00000000">
      <w:pPr>
        <w:pStyle w:val="NormalWeb"/>
        <w:jc w:val="both"/>
        <w:rPr>
          <w:sz w:val="22"/>
          <w:szCs w:val="22"/>
        </w:rPr>
      </w:pPr>
      <w:r>
        <w:rPr>
          <w:noProof/>
          <w:sz w:val="22"/>
          <w:szCs w:val="22"/>
        </w:rPr>
        <w:lastRenderedPageBreak/>
        <w:drawing>
          <wp:inline distT="0" distB="0" distL="0" distR="0" wp14:anchorId="5D78D41C" wp14:editId="7F6E1002">
            <wp:extent cx="5730875" cy="4779010"/>
            <wp:effectExtent l="0" t="0" r="0" b="0"/>
            <wp:docPr id="1073741829" name="officeArt object" descr="A diagram of a crop&#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29" name="A diagram of a cropAI-generated content may be incorrect." descr="A diagram of a cropAI-generated content may be incorrect."/>
                    <pic:cNvPicPr>
                      <a:picLocks noChangeAspect="1"/>
                    </pic:cNvPicPr>
                  </pic:nvPicPr>
                  <pic:blipFill>
                    <a:blip r:embed="rId16"/>
                    <a:stretch>
                      <a:fillRect/>
                    </a:stretch>
                  </pic:blipFill>
                  <pic:spPr>
                    <a:xfrm>
                      <a:off x="0" y="0"/>
                      <a:ext cx="5730875" cy="4779010"/>
                    </a:xfrm>
                    <a:prstGeom prst="rect">
                      <a:avLst/>
                    </a:prstGeom>
                    <a:ln w="12700" cap="flat">
                      <a:noFill/>
                      <a:miter lim="400000"/>
                    </a:ln>
                    <a:effectLst/>
                  </pic:spPr>
                </pic:pic>
              </a:graphicData>
            </a:graphic>
          </wp:inline>
        </w:drawing>
      </w:r>
    </w:p>
    <w:p w14:paraId="6F08165A" w14:textId="77777777" w:rsidR="00BC2A6D" w:rsidRDefault="00000000">
      <w:pPr>
        <w:pStyle w:val="NoSpacing"/>
        <w:jc w:val="both"/>
        <w:rPr>
          <w:rFonts w:ascii="Times New Roman" w:eastAsia="Times New Roman" w:hAnsi="Times New Roman" w:cs="Times New Roman"/>
        </w:rPr>
      </w:pPr>
      <w:r>
        <w:rPr>
          <w:rFonts w:ascii="Times New Roman" w:hAnsi="Times New Roman"/>
        </w:rPr>
        <w:t xml:space="preserve">Figure 5: Distribution of effect size across topographic variables for different regenerative agriculture practices. Points show means; error bars are 95% CIs. Categories whose 95% CIs exclude 0 (vertical red line) differ significantly from controls. </w:t>
      </w:r>
      <w:proofErr w:type="spellStart"/>
      <w:r>
        <w:rPr>
          <w:rFonts w:ascii="Times New Roman" w:hAnsi="Times New Roman"/>
        </w:rPr>
        <w:t>Mtn_sumt</w:t>
      </w:r>
      <w:proofErr w:type="spellEnd"/>
      <w:r>
        <w:rPr>
          <w:rFonts w:ascii="Times New Roman" w:hAnsi="Times New Roman"/>
        </w:rPr>
        <w:t xml:space="preserve">: Mountain summit, </w:t>
      </w:r>
      <w:proofErr w:type="spellStart"/>
      <w:r>
        <w:rPr>
          <w:rFonts w:ascii="Times New Roman" w:hAnsi="Times New Roman"/>
        </w:rPr>
        <w:t>Cliff_sl</w:t>
      </w:r>
      <w:proofErr w:type="spellEnd"/>
      <w:r>
        <w:rPr>
          <w:rFonts w:ascii="Times New Roman" w:hAnsi="Times New Roman"/>
        </w:rPr>
        <w:t xml:space="preserve">: Cliff slope, </w:t>
      </w:r>
      <w:proofErr w:type="spellStart"/>
      <w:r>
        <w:rPr>
          <w:rFonts w:ascii="Times New Roman" w:hAnsi="Times New Roman"/>
        </w:rPr>
        <w:t>Lwhi_mtn</w:t>
      </w:r>
      <w:proofErr w:type="spellEnd"/>
      <w:r>
        <w:rPr>
          <w:rFonts w:ascii="Times New Roman" w:hAnsi="Times New Roman"/>
        </w:rPr>
        <w:t xml:space="preserve">: Lower/hilly mountain, </w:t>
      </w:r>
      <w:proofErr w:type="spellStart"/>
      <w:r>
        <w:rPr>
          <w:rFonts w:ascii="Times New Roman" w:hAnsi="Times New Roman"/>
        </w:rPr>
        <w:t>Shills_dcsl</w:t>
      </w:r>
      <w:proofErr w:type="spellEnd"/>
      <w:r>
        <w:rPr>
          <w:rFonts w:ascii="Times New Roman" w:hAnsi="Times New Roman"/>
        </w:rPr>
        <w:t xml:space="preserve">: Steep hills / dissected cliff slope, </w:t>
      </w:r>
      <w:proofErr w:type="spellStart"/>
      <w:r>
        <w:rPr>
          <w:rFonts w:ascii="Times New Roman" w:hAnsi="Times New Roman"/>
        </w:rPr>
        <w:t>Lhgsl_steep</w:t>
      </w:r>
      <w:proofErr w:type="spellEnd"/>
      <w:r>
        <w:rPr>
          <w:rFonts w:ascii="Times New Roman" w:hAnsi="Times New Roman"/>
        </w:rPr>
        <w:t xml:space="preserve">: Large highland slope steep, </w:t>
      </w:r>
      <w:proofErr w:type="spellStart"/>
      <w:r>
        <w:rPr>
          <w:rFonts w:ascii="Times New Roman" w:hAnsi="Times New Roman"/>
        </w:rPr>
        <w:t>Lhgsl_mod</w:t>
      </w:r>
      <w:proofErr w:type="spellEnd"/>
      <w:r>
        <w:rPr>
          <w:rFonts w:ascii="Times New Roman" w:hAnsi="Times New Roman"/>
        </w:rPr>
        <w:t xml:space="preserve">: Large highland slope moderate, </w:t>
      </w:r>
      <w:proofErr w:type="spellStart"/>
      <w:r>
        <w:rPr>
          <w:rFonts w:ascii="Times New Roman" w:hAnsi="Times New Roman"/>
        </w:rPr>
        <w:t>Mtn_vs</w:t>
      </w:r>
      <w:proofErr w:type="spellEnd"/>
      <w:r>
        <w:rPr>
          <w:rFonts w:ascii="Times New Roman" w:hAnsi="Times New Roman"/>
        </w:rPr>
        <w:t xml:space="preserve">: Mountain valley slope, </w:t>
      </w:r>
      <w:proofErr w:type="spellStart"/>
      <w:r>
        <w:rPr>
          <w:rFonts w:ascii="Times New Roman" w:hAnsi="Times New Roman"/>
        </w:rPr>
        <w:t>Mod_hills</w:t>
      </w:r>
      <w:proofErr w:type="spellEnd"/>
      <w:r>
        <w:rPr>
          <w:rFonts w:ascii="Times New Roman" w:hAnsi="Times New Roman"/>
        </w:rPr>
        <w:t xml:space="preserve">: Moderate hills, </w:t>
      </w:r>
      <w:proofErr w:type="spellStart"/>
      <w:r>
        <w:rPr>
          <w:rFonts w:ascii="Times New Roman" w:hAnsi="Times New Roman"/>
        </w:rPr>
        <w:t>Tfphi_dis:Terrace</w:t>
      </w:r>
      <w:proofErr w:type="spellEnd"/>
      <w:r>
        <w:rPr>
          <w:rFonts w:ascii="Times New Roman" w:hAnsi="Times New Roman"/>
        </w:rPr>
        <w:t xml:space="preserve">/fan/plateau (high, dissected), </w:t>
      </w:r>
      <w:proofErr w:type="spellStart"/>
      <w:r>
        <w:rPr>
          <w:rFonts w:ascii="Times New Roman" w:hAnsi="Times New Roman"/>
        </w:rPr>
        <w:t>Tfphi_surf</w:t>
      </w:r>
      <w:proofErr w:type="spellEnd"/>
      <w:r>
        <w:rPr>
          <w:rFonts w:ascii="Times New Roman" w:hAnsi="Times New Roman"/>
        </w:rPr>
        <w:t xml:space="preserve">: Terrace/fan/plateau (high, surface), </w:t>
      </w:r>
      <w:proofErr w:type="spellStart"/>
      <w:r>
        <w:rPr>
          <w:rFonts w:ascii="Times New Roman" w:hAnsi="Times New Roman"/>
        </w:rPr>
        <w:t>Val_sl</w:t>
      </w:r>
      <w:proofErr w:type="spellEnd"/>
      <w:r>
        <w:rPr>
          <w:rFonts w:ascii="Times New Roman" w:hAnsi="Times New Roman"/>
        </w:rPr>
        <w:t xml:space="preserve">: Valley slope, </w:t>
      </w:r>
      <w:proofErr w:type="spellStart"/>
      <w:r>
        <w:rPr>
          <w:rFonts w:ascii="Times New Roman" w:hAnsi="Times New Roman"/>
        </w:rPr>
        <w:t>Tfplw_dis</w:t>
      </w:r>
      <w:proofErr w:type="spellEnd"/>
      <w:r>
        <w:rPr>
          <w:rFonts w:ascii="Times New Roman" w:hAnsi="Times New Roman"/>
        </w:rPr>
        <w:t xml:space="preserve">: Terrace/fan/plateau (low, dissected), </w:t>
      </w:r>
      <w:proofErr w:type="spellStart"/>
      <w:r>
        <w:rPr>
          <w:rFonts w:ascii="Times New Roman" w:hAnsi="Times New Roman"/>
        </w:rPr>
        <w:t>Tfplw_surf</w:t>
      </w:r>
      <w:proofErr w:type="spellEnd"/>
      <w:r>
        <w:rPr>
          <w:rFonts w:ascii="Times New Roman" w:hAnsi="Times New Roman"/>
        </w:rPr>
        <w:t xml:space="preserve">: Terrace/fan/plateau (low, surface), </w:t>
      </w:r>
      <w:proofErr w:type="spellStart"/>
      <w:r>
        <w:rPr>
          <w:rFonts w:ascii="Times New Roman" w:hAnsi="Times New Roman"/>
        </w:rPr>
        <w:t>Hi_plain</w:t>
      </w:r>
      <w:proofErr w:type="spellEnd"/>
      <w:r>
        <w:rPr>
          <w:rFonts w:ascii="Times New Roman" w:hAnsi="Times New Roman"/>
        </w:rPr>
        <w:t xml:space="preserve">: High plain (Sinks &lt; 50%), </w:t>
      </w:r>
      <w:proofErr w:type="spellStart"/>
      <w:r>
        <w:rPr>
          <w:rFonts w:ascii="Times New Roman" w:hAnsi="Times New Roman"/>
        </w:rPr>
        <w:t>Lw_plain</w:t>
      </w:r>
      <w:proofErr w:type="spellEnd"/>
      <w:r>
        <w:rPr>
          <w:rFonts w:ascii="Times New Roman" w:hAnsi="Times New Roman"/>
        </w:rPr>
        <w:t>: Low plain (Sinks &lt; 50%).</w:t>
      </w:r>
    </w:p>
    <w:p w14:paraId="244E6133" w14:textId="77777777" w:rsidR="00BC2A6D" w:rsidRDefault="00BC2A6D">
      <w:pPr>
        <w:pStyle w:val="NoSpacing"/>
        <w:jc w:val="both"/>
        <w:rPr>
          <w:rFonts w:ascii="Times New Roman" w:eastAsia="Times New Roman" w:hAnsi="Times New Roman" w:cs="Times New Roman"/>
        </w:rPr>
      </w:pPr>
    </w:p>
    <w:p w14:paraId="6DF3A795" w14:textId="77777777" w:rsidR="00BC2A6D" w:rsidRDefault="00000000">
      <w:pPr>
        <w:pStyle w:val="ListParagraph"/>
        <w:keepNext/>
        <w:keepLines/>
        <w:widowControl w:val="0"/>
        <w:numPr>
          <w:ilvl w:val="1"/>
          <w:numId w:val="4"/>
        </w:numPr>
        <w:spacing w:after="0" w:line="240" w:lineRule="auto"/>
        <w:jc w:val="both"/>
        <w:rPr>
          <w:rFonts w:ascii="Times New Roman" w:hAnsi="Times New Roman"/>
          <w:b/>
          <w:bCs/>
        </w:rPr>
      </w:pPr>
      <w:r>
        <w:rPr>
          <w:rFonts w:ascii="Times New Roman" w:hAnsi="Times New Roman"/>
          <w:b/>
          <w:bCs/>
        </w:rPr>
        <w:t>Crop yield change across NT management strategies</w:t>
      </w:r>
    </w:p>
    <w:p w14:paraId="3770F8F7" w14:textId="77777777" w:rsidR="00BC2A6D" w:rsidRDefault="00BC2A6D">
      <w:pPr>
        <w:pStyle w:val="Body"/>
        <w:widowControl w:val="0"/>
        <w:spacing w:after="0" w:line="240" w:lineRule="auto"/>
        <w:jc w:val="both"/>
        <w:rPr>
          <w:rFonts w:ascii="Times New Roman" w:eastAsia="Times New Roman" w:hAnsi="Times New Roman" w:cs="Times New Roman"/>
          <w:strike/>
        </w:rPr>
      </w:pPr>
    </w:p>
    <w:p w14:paraId="040BDCB3" w14:textId="77777777" w:rsidR="00BC2A6D" w:rsidRDefault="00000000">
      <w:pPr>
        <w:pStyle w:val="Body"/>
        <w:widowControl w:val="0"/>
        <w:spacing w:after="0" w:line="240" w:lineRule="auto"/>
        <w:jc w:val="both"/>
        <w:rPr>
          <w:rFonts w:ascii="Times New Roman" w:eastAsia="Times New Roman" w:hAnsi="Times New Roman" w:cs="Times New Roman"/>
        </w:rPr>
      </w:pPr>
      <w:r>
        <w:rPr>
          <w:rFonts w:ascii="Times New Roman" w:hAnsi="Times New Roman"/>
        </w:rPr>
        <w:t>NT performance varied strongly across climates and management regimes (Fig. 6). Arid zones showed the greatest yield increase when nitrogen input, soil cover (crop residue retention), weed control, and rotation were combined (39.6%, 95% CI: 8.9–71.6%), with additional gains for nitrogen input with soil cover and weed control (20.0%, 12.4–30.5%) and nitrogen input with weed control (4.8%, 1.0–10.9%). Other combinations were variable and often non-significant. These combinations likely enhance soil water retention and nutrient availability while minimizing evaporative losses—factors critical in water-limited or moderately dry environments. Such results align with earlier meta-analyses</w:t>
      </w:r>
      <w:r>
        <w:rPr>
          <w:rFonts w:ascii="Times New Roman" w:hAnsi="Times New Roman"/>
          <w:vertAlign w:val="superscript"/>
        </w:rPr>
        <w:t>15,105,106</w:t>
      </w:r>
      <w:r>
        <w:rPr>
          <w:rFonts w:ascii="Times New Roman" w:hAnsi="Times New Roman"/>
        </w:rPr>
        <w:t xml:space="preserve"> showing that NT performs best under dry conditions when integrated with residue retention and adequate nutrient management. In temperate regions, NT generally improved yields, especially with Nitrogen input with  </w:t>
      </w:r>
      <w:r>
        <w:rPr>
          <w:rFonts w:ascii="Times New Roman" w:hAnsi="Times New Roman"/>
        </w:rPr>
        <w:lastRenderedPageBreak/>
        <w:t>soil cover and weed control (20.0%, 13.9–29.3%) and with soil cover alone (8.3%, 5.3–12.5%). Combinations without cover delivered modest or non-significant effects, and weed control alone tended to reduce yields (–5.6%, –18.4–5.2%). Together, these results underscore that surface cover is a primary driver of NT benefits in temperate systems, enhancing infiltration and moderating evaporation while supporting nutrient use efficiency</w:t>
      </w:r>
      <w:r>
        <w:rPr>
          <w:rFonts w:ascii="Times New Roman" w:hAnsi="Times New Roman"/>
          <w:vertAlign w:val="superscript"/>
        </w:rPr>
        <w:t>107</w:t>
      </w:r>
      <w:r>
        <w:rPr>
          <w:rFonts w:ascii="Times New Roman" w:hAnsi="Times New Roman"/>
        </w:rPr>
        <w:t xml:space="preserve">. </w:t>
      </w:r>
    </w:p>
    <w:p w14:paraId="561E5EA5" w14:textId="77777777" w:rsidR="00BC2A6D" w:rsidRDefault="00BC2A6D">
      <w:pPr>
        <w:pStyle w:val="Body"/>
        <w:widowControl w:val="0"/>
        <w:spacing w:after="0" w:line="240" w:lineRule="auto"/>
        <w:jc w:val="both"/>
        <w:rPr>
          <w:rFonts w:ascii="Times New Roman" w:eastAsia="Times New Roman" w:hAnsi="Times New Roman" w:cs="Times New Roman"/>
        </w:rPr>
      </w:pPr>
    </w:p>
    <w:p w14:paraId="6621D2CE"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 xml:space="preserve">In continental regions, effects were neutral to slightly negative. Nitrogen input with soil cover and weed control had no significant effect (−0.1%, −3.3–4.2%), and adding rotation slightly reduced yields (−2.6%, −4.9–−0.6%). These moderate responses may reflect shorter adoption periods or limited residue persistence in colder climates, although inclusion of weed control and rotation appeared to partially mitigate yield penalties. </w:t>
      </w:r>
    </w:p>
    <w:p w14:paraId="3AA11422" w14:textId="77777777" w:rsidR="00BC2A6D" w:rsidRDefault="00BC2A6D">
      <w:pPr>
        <w:pStyle w:val="Body"/>
        <w:spacing w:after="0" w:line="240" w:lineRule="auto"/>
        <w:jc w:val="both"/>
        <w:rPr>
          <w:rFonts w:ascii="Times New Roman" w:eastAsia="Times New Roman" w:hAnsi="Times New Roman" w:cs="Times New Roman"/>
        </w:rPr>
      </w:pPr>
    </w:p>
    <w:p w14:paraId="508E3A63" w14:textId="77777777" w:rsidR="00BC2A6D" w:rsidRDefault="00000000">
      <w:pPr>
        <w:pStyle w:val="NoSpacing"/>
        <w:jc w:val="both"/>
        <w:rPr>
          <w:rFonts w:ascii="Times New Roman" w:eastAsia="Times New Roman" w:hAnsi="Times New Roman" w:cs="Times New Roman"/>
        </w:rPr>
      </w:pPr>
      <w:r>
        <w:rPr>
          <w:rFonts w:ascii="Times New Roman" w:hAnsi="Times New Roman"/>
        </w:rPr>
        <w:t xml:space="preserve">In tropical regions, most combinations led to declines, particularly nitrogen input with weed control (−16.7%, −27.3–−9.9%) and with rotation (−22.5%, −33.7–−12.2%). Only </w:t>
      </w:r>
      <w:bookmarkStart w:id="13" w:name="_Hlk210864120"/>
      <w:r>
        <w:rPr>
          <w:rFonts w:ascii="Times New Roman" w:hAnsi="Times New Roman"/>
        </w:rPr>
        <w:t xml:space="preserve">nitrogen input with soil cover and weed control </w:t>
      </w:r>
      <w:bookmarkEnd w:id="13"/>
      <w:r>
        <w:rPr>
          <w:rFonts w:ascii="Times New Roman" w:hAnsi="Times New Roman"/>
        </w:rPr>
        <w:t>showed a small, nonsignificant increase (1.2%, −5.9–13.2%). These negative effects likely stem from several interacting biophysical and management constraints. Highly weathered tropical soils often exhibit low structural stability and are prone to compaction under reduced tillage, which limits root development and water infiltration</w:t>
      </w:r>
      <w:r>
        <w:rPr>
          <w:rFonts w:ascii="Times New Roman" w:hAnsi="Times New Roman"/>
          <w:vertAlign w:val="superscript"/>
        </w:rPr>
        <w:t>15,108</w:t>
      </w:r>
      <w:r>
        <w:rPr>
          <w:rFonts w:ascii="Times New Roman" w:hAnsi="Times New Roman"/>
        </w:rPr>
        <w:t>. Moreover, warm and humid conditions accelerate residue decomposition and favor pest and disease proliferation, reducing the protective and fertility benefits of surface cover</w:t>
      </w:r>
      <w:r>
        <w:rPr>
          <w:rFonts w:ascii="Times New Roman" w:hAnsi="Times New Roman"/>
          <w:vertAlign w:val="superscript"/>
        </w:rPr>
        <w:t>109,105,110</w:t>
      </w:r>
      <w:r>
        <w:rPr>
          <w:rFonts w:ascii="Times New Roman" w:hAnsi="Times New Roman"/>
        </w:rPr>
        <w:t>. Inadequate residue retention and inherent soil acidity further constrain nutrient cycling and microbial activity</w:t>
      </w:r>
      <w:r>
        <w:rPr>
          <w:rFonts w:ascii="Times New Roman" w:hAnsi="Times New Roman"/>
          <w:vertAlign w:val="superscript"/>
        </w:rPr>
        <w:t>65</w:t>
      </w:r>
      <w:r>
        <w:rPr>
          <w:rFonts w:ascii="Times New Roman" w:hAnsi="Times New Roman"/>
        </w:rPr>
        <w:t>, collectively diminishing NT performance.</w:t>
      </w:r>
    </w:p>
    <w:p w14:paraId="7B62C03A" w14:textId="77777777" w:rsidR="00BC2A6D" w:rsidRDefault="00BC2A6D">
      <w:pPr>
        <w:pStyle w:val="Body"/>
        <w:widowControl w:val="0"/>
        <w:spacing w:after="0" w:line="240" w:lineRule="auto"/>
        <w:jc w:val="both"/>
        <w:rPr>
          <w:rFonts w:ascii="Times New Roman" w:eastAsia="Times New Roman" w:hAnsi="Times New Roman" w:cs="Times New Roman"/>
        </w:rPr>
      </w:pPr>
    </w:p>
    <w:p w14:paraId="1675703A"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Nevertheless, targeted management can mitigate many of these constraints. Integrating NT with soil cover, mulching, or organic amendments can enhance soil structure and biological activity, while rotations with deep-rooted species help alleviate compaction and improve nutrient uptake</w:t>
      </w:r>
      <w:r>
        <w:rPr>
          <w:rFonts w:ascii="Times New Roman" w:hAnsi="Times New Roman"/>
          <w:vertAlign w:val="superscript"/>
        </w:rPr>
        <w:t>111,112,113</w:t>
      </w:r>
      <w:r>
        <w:rPr>
          <w:rFonts w:ascii="Times New Roman" w:hAnsi="Times New Roman"/>
        </w:rPr>
        <w:t>. Over the long term, sustained NT adoption may improve soil organic carbon and structural stability, gradually offsetting early yield declines</w:t>
      </w:r>
      <w:r>
        <w:rPr>
          <w:rFonts w:ascii="Times New Roman" w:hAnsi="Times New Roman"/>
          <w:vertAlign w:val="superscript"/>
        </w:rPr>
        <w:t>114</w:t>
      </w:r>
      <w:r>
        <w:rPr>
          <w:rFonts w:ascii="Times New Roman" w:hAnsi="Times New Roman"/>
        </w:rPr>
        <w:t xml:space="preserve">. Overall, NT systems deliver the strongest yield benefits when complementary management practices enhance soil structure and moisture retention, indicating that their success depends on how well they address underlying physical and nutrient constraints. </w:t>
      </w:r>
    </w:p>
    <w:p w14:paraId="325F1DFD" w14:textId="77777777" w:rsidR="00BC2A6D" w:rsidRDefault="00BC2A6D">
      <w:pPr>
        <w:pStyle w:val="Body"/>
        <w:widowControl w:val="0"/>
        <w:spacing w:after="0" w:line="240" w:lineRule="auto"/>
        <w:jc w:val="both"/>
        <w:rPr>
          <w:rFonts w:ascii="Times New Roman" w:eastAsia="Times New Roman" w:hAnsi="Times New Roman" w:cs="Times New Roman"/>
          <w:strike/>
        </w:rPr>
      </w:pPr>
    </w:p>
    <w:p w14:paraId="060E403D" w14:textId="77777777" w:rsidR="00BC2A6D" w:rsidRDefault="00BC2A6D">
      <w:pPr>
        <w:pStyle w:val="Body"/>
        <w:widowControl w:val="0"/>
        <w:spacing w:after="0" w:line="240" w:lineRule="auto"/>
        <w:jc w:val="both"/>
        <w:rPr>
          <w:rFonts w:ascii="Times New Roman" w:eastAsia="Times New Roman" w:hAnsi="Times New Roman" w:cs="Times New Roman"/>
          <w:strike/>
        </w:rPr>
      </w:pPr>
    </w:p>
    <w:p w14:paraId="6BC32904" w14:textId="77777777" w:rsidR="00BC2A6D" w:rsidRDefault="00BC2A6D">
      <w:pPr>
        <w:pStyle w:val="Body"/>
        <w:widowControl w:val="0"/>
        <w:spacing w:after="0" w:line="240" w:lineRule="auto"/>
        <w:jc w:val="both"/>
        <w:rPr>
          <w:rFonts w:ascii="Times New Roman" w:eastAsia="Times New Roman" w:hAnsi="Times New Roman" w:cs="Times New Roman"/>
          <w:strike/>
        </w:rPr>
      </w:pPr>
    </w:p>
    <w:p w14:paraId="39097BE2" w14:textId="77777777" w:rsidR="00BC2A6D" w:rsidRDefault="00BC2A6D">
      <w:pPr>
        <w:pStyle w:val="Body"/>
        <w:widowControl w:val="0"/>
        <w:spacing w:after="0" w:line="240" w:lineRule="auto"/>
        <w:jc w:val="both"/>
        <w:rPr>
          <w:rFonts w:ascii="Times New Roman" w:eastAsia="Times New Roman" w:hAnsi="Times New Roman" w:cs="Times New Roman"/>
          <w:b/>
          <w:bCs/>
          <w:strike/>
        </w:rPr>
      </w:pPr>
    </w:p>
    <w:p w14:paraId="3BE269A3" w14:textId="77777777" w:rsidR="00BC2A6D" w:rsidRDefault="00000000">
      <w:pPr>
        <w:pStyle w:val="Body"/>
        <w:widowControl w:val="0"/>
        <w:spacing w:after="0" w:line="240" w:lineRule="auto"/>
        <w:jc w:val="both"/>
        <w:rPr>
          <w:rFonts w:ascii="Times New Roman" w:eastAsia="Times New Roman" w:hAnsi="Times New Roman" w:cs="Times New Roman"/>
          <w:b/>
          <w:bCs/>
        </w:rPr>
      </w:pPr>
      <w:r>
        <w:rPr>
          <w:rFonts w:ascii="Times New Roman" w:eastAsia="Times New Roman" w:hAnsi="Times New Roman" w:cs="Times New Roman"/>
          <w:b/>
          <w:bCs/>
          <w:noProof/>
        </w:rPr>
        <w:lastRenderedPageBreak/>
        <w:drawing>
          <wp:inline distT="0" distB="0" distL="0" distR="0" wp14:anchorId="3C6914C3" wp14:editId="264E5662">
            <wp:extent cx="5024528" cy="5257800"/>
            <wp:effectExtent l="0" t="0" r="0" b="0"/>
            <wp:docPr id="1073741830" name="officeArt object"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073741830" name="A screenshot of a graphAI-generated content may be incorrect." descr="A screenshot of a graphAI-generated content may be incorrect."/>
                    <pic:cNvPicPr>
                      <a:picLocks noChangeAspect="1"/>
                    </pic:cNvPicPr>
                  </pic:nvPicPr>
                  <pic:blipFill>
                    <a:blip r:embed="rId17"/>
                    <a:stretch>
                      <a:fillRect/>
                    </a:stretch>
                  </pic:blipFill>
                  <pic:spPr>
                    <a:xfrm>
                      <a:off x="0" y="0"/>
                      <a:ext cx="5024528" cy="5257800"/>
                    </a:xfrm>
                    <a:prstGeom prst="rect">
                      <a:avLst/>
                    </a:prstGeom>
                    <a:ln w="12700" cap="flat">
                      <a:noFill/>
                      <a:miter lim="400000"/>
                    </a:ln>
                    <a:effectLst/>
                  </pic:spPr>
                </pic:pic>
              </a:graphicData>
            </a:graphic>
          </wp:inline>
        </w:drawing>
      </w:r>
    </w:p>
    <w:p w14:paraId="77FB7890" w14:textId="77777777" w:rsidR="00BC2A6D" w:rsidRDefault="00BC2A6D">
      <w:pPr>
        <w:pStyle w:val="Body"/>
        <w:widowControl w:val="0"/>
        <w:spacing w:after="0" w:line="240" w:lineRule="auto"/>
        <w:jc w:val="both"/>
        <w:rPr>
          <w:rFonts w:ascii="Times New Roman" w:eastAsia="Times New Roman" w:hAnsi="Times New Roman" w:cs="Times New Roman"/>
          <w:b/>
          <w:bCs/>
        </w:rPr>
      </w:pPr>
    </w:p>
    <w:p w14:paraId="054D312A" w14:textId="77777777" w:rsidR="00BC2A6D" w:rsidRDefault="00000000">
      <w:pPr>
        <w:pStyle w:val="NoSpacing"/>
        <w:jc w:val="both"/>
        <w:rPr>
          <w:rFonts w:ascii="Times New Roman" w:eastAsia="Times New Roman" w:hAnsi="Times New Roman" w:cs="Times New Roman"/>
        </w:rPr>
      </w:pPr>
      <w:r>
        <w:rPr>
          <w:rFonts w:ascii="Times New Roman" w:hAnsi="Times New Roman"/>
        </w:rPr>
        <w:t xml:space="preserve">Figure 6: Distribution of effect size across different no-tillage management strategies. N: nitrogen. In brackets are the number of observations per management. Points show means; error bars are 95% CIs. Categories whose 95% CIs exclude 0 (vertical red line) differ significantly from controls. </w:t>
      </w:r>
    </w:p>
    <w:p w14:paraId="7D63CDAE" w14:textId="77777777" w:rsidR="00BC2A6D" w:rsidRDefault="00BC2A6D">
      <w:pPr>
        <w:pStyle w:val="NoSpacing"/>
        <w:jc w:val="both"/>
        <w:rPr>
          <w:rFonts w:ascii="Times New Roman" w:eastAsia="Times New Roman" w:hAnsi="Times New Roman" w:cs="Times New Roman"/>
        </w:rPr>
      </w:pPr>
    </w:p>
    <w:p w14:paraId="78D6799A" w14:textId="77777777" w:rsidR="00BC2A6D" w:rsidRDefault="00000000">
      <w:pPr>
        <w:pStyle w:val="ListParagraph"/>
        <w:keepNext/>
        <w:keepLines/>
        <w:widowControl w:val="0"/>
        <w:numPr>
          <w:ilvl w:val="1"/>
          <w:numId w:val="13"/>
        </w:numPr>
        <w:spacing w:after="0" w:line="240" w:lineRule="auto"/>
        <w:jc w:val="both"/>
        <w:rPr>
          <w:rFonts w:ascii="Times New Roman" w:hAnsi="Times New Roman"/>
          <w:b/>
          <w:bCs/>
        </w:rPr>
      </w:pPr>
      <w:r>
        <w:rPr>
          <w:rFonts w:ascii="Times New Roman" w:hAnsi="Times New Roman"/>
          <w:b/>
          <w:bCs/>
        </w:rPr>
        <w:t xml:space="preserve">Publication bias and sensitivity analysis </w:t>
      </w:r>
    </w:p>
    <w:p w14:paraId="570410A4" w14:textId="77777777" w:rsidR="00BC2A6D" w:rsidRDefault="00BC2A6D">
      <w:pPr>
        <w:pStyle w:val="Body"/>
        <w:keepNext/>
        <w:keepLines/>
        <w:widowControl w:val="0"/>
        <w:spacing w:after="0" w:line="240" w:lineRule="auto"/>
        <w:jc w:val="both"/>
        <w:rPr>
          <w:rFonts w:ascii="Times New Roman" w:eastAsia="Times New Roman" w:hAnsi="Times New Roman" w:cs="Times New Roman"/>
        </w:rPr>
      </w:pPr>
    </w:p>
    <w:p w14:paraId="51FF3B9E" w14:textId="77777777" w:rsidR="00BC2A6D" w:rsidRDefault="00000000">
      <w:pPr>
        <w:pStyle w:val="Body"/>
        <w:widowControl w:val="0"/>
        <w:spacing w:after="0" w:line="240" w:lineRule="auto"/>
        <w:jc w:val="both"/>
        <w:rPr>
          <w:rFonts w:ascii="Times New Roman" w:eastAsia="Times New Roman" w:hAnsi="Times New Roman" w:cs="Times New Roman"/>
        </w:rPr>
      </w:pPr>
      <w:r>
        <w:rPr>
          <w:rFonts w:ascii="Times New Roman" w:hAnsi="Times New Roman"/>
        </w:rPr>
        <w:t>Density and histogram plots (Fig. 7a,b) indicated that effect sizes were approximately normally distributed, with no visible asymmetry suggesting substantial publication or reporting bias. Similarly, the Jackknife sensitivity analysis revealed that the exclusion of individual studies did not substantially alter the pooled effect size, as most of the recalculated estimates remained within the original 95% confidence interval (Fig. 7c). These findings confirm the robustness and stability of the meta-analytic estimates. Although a few studies produced estimates that fell outside the 95% confidence range when excluded, their influence was minor given the large cumulative sample size and broad representation of experimental conditions. This attenuation of single-study effects underscores that no individual dataset unduly biased the overall results, consistent with findings from previous large-scale meta-analyses assessing the reliability of regenerative practice impacts</w:t>
      </w:r>
      <w:r>
        <w:rPr>
          <w:rFonts w:ascii="Times New Roman" w:hAnsi="Times New Roman"/>
          <w:vertAlign w:val="superscript"/>
        </w:rPr>
        <w:t>115</w:t>
      </w:r>
      <w:r>
        <w:rPr>
          <w:rFonts w:ascii="Times New Roman" w:hAnsi="Times New Roman"/>
        </w:rPr>
        <w:t>. Consequently, these influential studies were therefore retained, as their exclusion would not meaningfully change the overall conclusions.</w:t>
      </w:r>
    </w:p>
    <w:p w14:paraId="479F06A6" w14:textId="77777777" w:rsidR="00BC2A6D" w:rsidRDefault="00BC2A6D">
      <w:pPr>
        <w:pStyle w:val="Body"/>
        <w:widowControl w:val="0"/>
        <w:spacing w:after="0" w:line="240" w:lineRule="auto"/>
        <w:jc w:val="both"/>
        <w:rPr>
          <w:rFonts w:ascii="Times New Roman" w:eastAsia="Times New Roman" w:hAnsi="Times New Roman" w:cs="Times New Roman"/>
        </w:rPr>
      </w:pPr>
    </w:p>
    <w:p w14:paraId="3ACED783" w14:textId="77777777" w:rsidR="00BC2A6D" w:rsidRDefault="00000000">
      <w:pPr>
        <w:pStyle w:val="Heading"/>
      </w:pPr>
      <w:r>
        <w:rPr>
          <w:noProof/>
        </w:rPr>
        <w:drawing>
          <wp:inline distT="0" distB="0" distL="0" distR="0" wp14:anchorId="2654A367" wp14:editId="180D69EE">
            <wp:extent cx="4241096" cy="7200000"/>
            <wp:effectExtent l="0" t="0" r="0" b="0"/>
            <wp:docPr id="1073741831" name="officeArt object" descr="Picture 4"/>
            <wp:cNvGraphicFramePr/>
            <a:graphic xmlns:a="http://schemas.openxmlformats.org/drawingml/2006/main">
              <a:graphicData uri="http://schemas.openxmlformats.org/drawingml/2006/picture">
                <pic:pic xmlns:pic="http://schemas.openxmlformats.org/drawingml/2006/picture">
                  <pic:nvPicPr>
                    <pic:cNvPr id="1073741831" name="Picture 4" descr="Picture 4"/>
                    <pic:cNvPicPr>
                      <a:picLocks noChangeAspect="1"/>
                    </pic:cNvPicPr>
                  </pic:nvPicPr>
                  <pic:blipFill>
                    <a:blip r:embed="rId18"/>
                    <a:stretch>
                      <a:fillRect/>
                    </a:stretch>
                  </pic:blipFill>
                  <pic:spPr>
                    <a:xfrm>
                      <a:off x="0" y="0"/>
                      <a:ext cx="4241096" cy="7200000"/>
                    </a:xfrm>
                    <a:prstGeom prst="rect">
                      <a:avLst/>
                    </a:prstGeom>
                    <a:ln w="12700" cap="flat">
                      <a:noFill/>
                      <a:miter lim="400000"/>
                    </a:ln>
                    <a:effectLst/>
                  </pic:spPr>
                </pic:pic>
              </a:graphicData>
            </a:graphic>
          </wp:inline>
        </w:drawing>
      </w:r>
    </w:p>
    <w:p w14:paraId="2C2E81D3" w14:textId="77777777" w:rsidR="00BC2A6D" w:rsidRDefault="00000000">
      <w:pPr>
        <w:pStyle w:val="Heading"/>
      </w:pPr>
      <w:r>
        <w:rPr>
          <w:b/>
          <w:bCs/>
          <w:lang w:val="it-IT"/>
        </w:rPr>
        <w:t xml:space="preserve">Figure 7: </w:t>
      </w:r>
      <w:r>
        <w:t xml:space="preserve">The (a) density plot (b) the sensitivity analysis for each regenerative farming practice. The lower and higher 95% confidence intervals are provided as dashed red lines. AF: Agroforestry, CC: cover crop, NT: no-tillage, OF: organic farming. </w:t>
      </w:r>
    </w:p>
    <w:p w14:paraId="0F374F33" w14:textId="77777777" w:rsidR="00BC2A6D" w:rsidRDefault="00000000">
      <w:pPr>
        <w:pStyle w:val="ListParagraph"/>
        <w:keepNext/>
        <w:widowControl w:val="0"/>
        <w:numPr>
          <w:ilvl w:val="1"/>
          <w:numId w:val="4"/>
        </w:numPr>
        <w:spacing w:after="0" w:line="480" w:lineRule="auto"/>
        <w:jc w:val="both"/>
        <w:rPr>
          <w:rFonts w:ascii="Times New Roman" w:hAnsi="Times New Roman"/>
          <w:b/>
          <w:bCs/>
        </w:rPr>
      </w:pPr>
      <w:r>
        <w:rPr>
          <w:rFonts w:ascii="Times New Roman" w:hAnsi="Times New Roman"/>
          <w:b/>
          <w:bCs/>
        </w:rPr>
        <w:lastRenderedPageBreak/>
        <w:t>Limitations of the study and future directions</w:t>
      </w:r>
    </w:p>
    <w:p w14:paraId="57E61F4F"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The results of this study underscore the potential of RFPs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RFPs.</w:t>
      </w:r>
    </w:p>
    <w:p w14:paraId="324BF3FD" w14:textId="77777777" w:rsidR="00BC2A6D" w:rsidRDefault="00BC2A6D">
      <w:pPr>
        <w:pStyle w:val="Body"/>
        <w:spacing w:after="0" w:line="240" w:lineRule="auto"/>
        <w:jc w:val="both"/>
        <w:rPr>
          <w:rFonts w:ascii="Times New Roman" w:eastAsia="Times New Roman" w:hAnsi="Times New Roman" w:cs="Times New Roman"/>
        </w:rPr>
      </w:pPr>
    </w:p>
    <w:p w14:paraId="26DC0608"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The number and spatial distribution of the studies included in this analysis may limit the generalizability of the results to underrepresented regions. The geographic coverage of NT and OF studies was heavily skewed toward Europe and North America (Fig. 1), while no AF studies were available from Latin America despite the region hosting between 200 and 500 million hectares</w:t>
      </w:r>
      <w:r>
        <w:rPr>
          <w:rFonts w:ascii="Times New Roman" w:hAnsi="Times New Roman"/>
          <w:vertAlign w:val="superscript"/>
        </w:rPr>
        <w:t>116</w:t>
      </w:r>
      <w:r>
        <w:rPr>
          <w:rFonts w:ascii="Times New Roman" w:hAnsi="Times New Roman"/>
        </w:rPr>
        <w:t xml:space="preserve"> under such system. Moreover, the dataset was dominated by NT observations compared to the other regenerative farming practices (RFPs), which may have exerted a stronger influence on the pooled results. Although disaggregating results by practice helped reveal individual patterns, these imbalances highlight the need for more globally representative data, particularly for AF, CC, and OF.</w:t>
      </w:r>
    </w:p>
    <w:p w14:paraId="61E02191" w14:textId="77777777" w:rsidR="00BC2A6D" w:rsidRDefault="00BC2A6D">
      <w:pPr>
        <w:pStyle w:val="Body"/>
        <w:spacing w:after="0" w:line="240" w:lineRule="auto"/>
        <w:jc w:val="both"/>
        <w:rPr>
          <w:rFonts w:ascii="Times New Roman" w:eastAsia="Times New Roman" w:hAnsi="Times New Roman" w:cs="Times New Roman"/>
        </w:rPr>
      </w:pPr>
    </w:p>
    <w:p w14:paraId="6E74AE82"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In addition, detailed management covariates—such as nitrogen input, soil cover, weed control, and crop rotation—were available only for the NT subset of the dataset. Consequently, management effects could be analyzed exclusively for NT systems, whereas equivalent analyses were not possible for AF, CC, or OF due to limited or inconsistent reporting in the source studies. This introduces a potential selection bias, as NT findings may partly reflect the greater availability of management detail rather than an inherently stronger management–yield relationship. These findings should therefore not be generalized across all RFPs. Future meta-analyses would benefit from harmonized reporting of management variables and broader spatial coverage to enable robust cross-practice and cross-region comparisons.</w:t>
      </w:r>
    </w:p>
    <w:p w14:paraId="0D57B494" w14:textId="77777777" w:rsidR="00BC2A6D" w:rsidRDefault="00BC2A6D">
      <w:pPr>
        <w:pStyle w:val="Body"/>
        <w:spacing w:after="0" w:line="240" w:lineRule="auto"/>
        <w:jc w:val="both"/>
        <w:rPr>
          <w:rFonts w:ascii="Times New Roman" w:eastAsia="Times New Roman" w:hAnsi="Times New Roman" w:cs="Times New Roman"/>
        </w:rPr>
      </w:pPr>
    </w:p>
    <w:p w14:paraId="78B75546"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 xml:space="preserve">Another limitation concerns the environmental data used in this analysis. Soil, climate, and topographic variables were obtained from global geospatial datasets rather than measured directly in the field. Although these datasets offer standardized global coverage, they introduce uncertainty due to coordinate inaccuracies and spatial mismatches between coarse </w:t>
      </w:r>
      <w:proofErr w:type="spellStart"/>
      <w:r>
        <w:rPr>
          <w:rFonts w:ascii="Times New Roman" w:hAnsi="Times New Roman"/>
        </w:rPr>
        <w:t>rasters</w:t>
      </w:r>
      <w:proofErr w:type="spellEnd"/>
      <w:r>
        <w:rPr>
          <w:rFonts w:ascii="Times New Roman" w:hAnsi="Times New Roman"/>
        </w:rPr>
        <w:t xml:space="preserve"> and plot-level observations</w:t>
      </w:r>
      <w:r>
        <w:rPr>
          <w:rFonts w:ascii="Times New Roman" w:hAnsi="Times New Roman"/>
          <w:vertAlign w:val="superscript"/>
        </w:rPr>
        <w:t>117,118</w:t>
      </w:r>
      <w:r>
        <w:rPr>
          <w:rFonts w:ascii="Times New Roman" w:hAnsi="Times New Roman"/>
        </w:rPr>
        <w:t>. Many meta-analyses report site locations only as approximate centroids, creating potential positional errors when linking field data to environmental covariates</w:t>
      </w:r>
      <w:r>
        <w:rPr>
          <w:rFonts w:ascii="Times New Roman" w:hAnsi="Times New Roman"/>
          <w:vertAlign w:val="superscript"/>
        </w:rPr>
        <w:t>119</w:t>
      </w:r>
      <w:r>
        <w:rPr>
          <w:rFonts w:ascii="Times New Roman" w:hAnsi="Times New Roman"/>
        </w:rPr>
        <w:t xml:space="preserve">. Differences in spatial resolution (e.g. </w:t>
      </w:r>
      <w:proofErr w:type="spellStart"/>
      <w:r>
        <w:rPr>
          <w:rFonts w:ascii="Times New Roman" w:hAnsi="Times New Roman"/>
        </w:rPr>
        <w:t>SoilGrids</w:t>
      </w:r>
      <w:proofErr w:type="spellEnd"/>
      <w:r>
        <w:rPr>
          <w:rFonts w:ascii="Times New Roman" w:hAnsi="Times New Roman"/>
        </w:rPr>
        <w:t xml:space="preserve"> (250 m) and CHELSA (1 km)) can also generate modifiable areal unit problems (MAUP), where averaged values fail to capture local variability</w:t>
      </w:r>
      <w:r>
        <w:rPr>
          <w:rFonts w:ascii="Times New Roman" w:hAnsi="Times New Roman"/>
          <w:vertAlign w:val="superscript"/>
        </w:rPr>
        <w:t>120</w:t>
      </w:r>
      <w:r>
        <w:rPr>
          <w:rFonts w:ascii="Times New Roman" w:hAnsi="Times New Roman"/>
        </w:rPr>
        <w:t xml:space="preserve">. Soil properties such as SOC, pH, and bulk density vary substantially within fields, and modeled data cannot fully reflect this </w:t>
      </w:r>
      <w:proofErr w:type="gramStart"/>
      <w:r>
        <w:rPr>
          <w:rFonts w:ascii="Times New Roman" w:hAnsi="Times New Roman"/>
        </w:rPr>
        <w:t>fine-scale</w:t>
      </w:r>
      <w:proofErr w:type="gramEnd"/>
      <w:r>
        <w:rPr>
          <w:rFonts w:ascii="Times New Roman" w:hAnsi="Times New Roman"/>
        </w:rPr>
        <w:t xml:space="preserve"> heterogeneity</w:t>
      </w:r>
      <w:r>
        <w:rPr>
          <w:rFonts w:ascii="Times New Roman" w:hAnsi="Times New Roman"/>
          <w:vertAlign w:val="superscript"/>
        </w:rPr>
        <w:t>121</w:t>
      </w:r>
      <w:r>
        <w:rPr>
          <w:rFonts w:ascii="Times New Roman" w:hAnsi="Times New Roman"/>
        </w:rPr>
        <w:t>. Likewise, interpolated climate and DEM-based terrain attributes may obscure microclimatic differences that strongly influence yields</w:t>
      </w:r>
      <w:r>
        <w:rPr>
          <w:rFonts w:ascii="Times New Roman" w:hAnsi="Times New Roman"/>
          <w:vertAlign w:val="superscript"/>
        </w:rPr>
        <w:t>122</w:t>
      </w:r>
      <w:r>
        <w:rPr>
          <w:rFonts w:ascii="Times New Roman" w:hAnsi="Times New Roman"/>
        </w:rPr>
        <w:t xml:space="preserve">. These uncertainties may affect the precision of detected environmental relationships. Future studies could reduce them by testing sensitivity to extraction scale or by integrating global </w:t>
      </w:r>
      <w:proofErr w:type="spellStart"/>
      <w:r>
        <w:rPr>
          <w:rFonts w:ascii="Times New Roman" w:hAnsi="Times New Roman"/>
        </w:rPr>
        <w:t>rasters</w:t>
      </w:r>
      <w:proofErr w:type="spellEnd"/>
      <w:r>
        <w:rPr>
          <w:rFonts w:ascii="Times New Roman" w:hAnsi="Times New Roman"/>
        </w:rPr>
        <w:t xml:space="preserve"> with field-measured variables where possible.</w:t>
      </w:r>
    </w:p>
    <w:p w14:paraId="2C4F5185" w14:textId="77777777" w:rsidR="00BC2A6D" w:rsidRDefault="00BC2A6D">
      <w:pPr>
        <w:pStyle w:val="Body"/>
        <w:spacing w:after="0" w:line="240" w:lineRule="auto"/>
        <w:jc w:val="both"/>
        <w:rPr>
          <w:rFonts w:ascii="Times New Roman" w:eastAsia="Times New Roman" w:hAnsi="Times New Roman" w:cs="Times New Roman"/>
        </w:rPr>
      </w:pPr>
    </w:p>
    <w:p w14:paraId="79F73527"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 xml:space="preserve">In addition, yield was the sole outcome metric considered in this study, despite the multifunctional goals of RFPs—including carbon sequestration, biodiversity enhancement, and climate resilience. This narrow focus may miss important trade-offs and co-benefits that could influence adoption decisions by policy makers, land managers and farmers. The attribution of yield effects to individual RFPs is further complicated by the frequent bundling of multiple practices within the same study, especially in NT systems. For instance, AF can include alley cropping, forest farming, </w:t>
      </w:r>
      <w:proofErr w:type="spellStart"/>
      <w:r>
        <w:rPr>
          <w:rFonts w:ascii="Times New Roman" w:hAnsi="Times New Roman"/>
        </w:rPr>
        <w:t>silvopastoralism</w:t>
      </w:r>
      <w:proofErr w:type="spellEnd"/>
      <w:r>
        <w:rPr>
          <w:rFonts w:ascii="Times New Roman" w:hAnsi="Times New Roman"/>
        </w:rPr>
        <w:t>, or riparian forest buffers</w:t>
      </w:r>
      <w:r>
        <w:rPr>
          <w:rFonts w:ascii="Times New Roman" w:hAnsi="Times New Roman"/>
          <w:vertAlign w:val="superscript"/>
        </w:rPr>
        <w:t>123-125</w:t>
      </w:r>
      <w:r>
        <w:rPr>
          <w:rFonts w:ascii="Times New Roman" w:hAnsi="Times New Roman"/>
        </w:rPr>
        <w:t>, while CC species differ in their root structure—fibrous species such as ryegrass or oats control erosion more effectively than thick-rooted types like white mustard or fodder radish</w:t>
      </w:r>
      <w:r>
        <w:rPr>
          <w:rFonts w:ascii="Times New Roman" w:hAnsi="Times New Roman"/>
          <w:vertAlign w:val="superscript"/>
        </w:rPr>
        <w:t>126</w:t>
      </w:r>
      <w:r>
        <w:rPr>
          <w:rFonts w:ascii="Times New Roman" w:hAnsi="Times New Roman"/>
        </w:rPr>
        <w:t>. Such management diversity can obscure the individual contribution of each practice, highlighting the need for more detailed reporting and standardized classification in future analyses.</w:t>
      </w:r>
    </w:p>
    <w:p w14:paraId="1BBF1135" w14:textId="77777777" w:rsidR="00BC2A6D" w:rsidRDefault="00BC2A6D">
      <w:pPr>
        <w:pStyle w:val="Body"/>
        <w:spacing w:after="0" w:line="240" w:lineRule="auto"/>
        <w:jc w:val="both"/>
        <w:rPr>
          <w:rFonts w:ascii="Times New Roman" w:eastAsia="Times New Roman" w:hAnsi="Times New Roman" w:cs="Times New Roman"/>
        </w:rPr>
      </w:pPr>
    </w:p>
    <w:p w14:paraId="0C03D16F" w14:textId="77777777"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lastRenderedPageBreak/>
        <w:t>This study did not evaluate how different RFPs contribute to the resilience of farming systems under increasingly frequent climate extremes—such as droughts and floods—which is a critical dimension of food security in a changing climate. RFPs might have further potential to buffer yield losses during extreme events but could also bolster farmers’ (economic) resilience by reducing the risk of total crop failure</w:t>
      </w:r>
      <w:r>
        <w:rPr>
          <w:rFonts w:ascii="Times New Roman" w:hAnsi="Times New Roman"/>
          <w:vertAlign w:val="superscript"/>
        </w:rPr>
        <w:t>127</w:t>
      </w:r>
      <w:r>
        <w:rPr>
          <w:rFonts w:ascii="Times New Roman" w:hAnsi="Times New Roman"/>
        </w:rPr>
        <w:t xml:space="preserve">. Understandably, a modest, stable harvest achieved through enhanced soil health and water management may be preferable to a higher but highly variable yield that collapses under stress. By prioritizing resilience, future studies can explore how RFPs affect long-term yield stability, soil health, and ecosystem services under forecasted climate conditions—and how these advantages translate into more secure and sustainable livelihoods for farmers. </w:t>
      </w:r>
    </w:p>
    <w:p w14:paraId="09864520" w14:textId="77777777" w:rsidR="00BC2A6D" w:rsidRDefault="00BC2A6D">
      <w:pPr>
        <w:pStyle w:val="Body"/>
        <w:spacing w:after="0" w:line="240" w:lineRule="auto"/>
        <w:jc w:val="both"/>
        <w:rPr>
          <w:rFonts w:ascii="Times New Roman" w:eastAsia="Times New Roman" w:hAnsi="Times New Roman" w:cs="Times New Roman"/>
        </w:rPr>
      </w:pPr>
    </w:p>
    <w:p w14:paraId="7F16A022" w14:textId="77777777" w:rsidR="00BC2A6D" w:rsidRDefault="00000000">
      <w:pPr>
        <w:pStyle w:val="Body"/>
        <w:spacing w:after="0" w:line="240" w:lineRule="auto"/>
        <w:rPr>
          <w:rFonts w:ascii="Times New Roman" w:eastAsia="Times New Roman" w:hAnsi="Times New Roman" w:cs="Times New Roman"/>
          <w:b/>
          <w:bCs/>
        </w:rPr>
      </w:pPr>
      <w:proofErr w:type="spellStart"/>
      <w:r>
        <w:rPr>
          <w:rFonts w:ascii="Times New Roman" w:hAnsi="Times New Roman"/>
          <w:b/>
          <w:bCs/>
          <w:lang w:val="it-IT"/>
        </w:rPr>
        <w:t>Conclusion</w:t>
      </w:r>
      <w:proofErr w:type="spellEnd"/>
    </w:p>
    <w:p w14:paraId="220A2B72" w14:textId="68FEED50" w:rsidR="00BC2A6D" w:rsidRDefault="00000000">
      <w:pPr>
        <w:pStyle w:val="Body"/>
        <w:spacing w:after="0" w:line="240" w:lineRule="auto"/>
        <w:jc w:val="both"/>
        <w:rPr>
          <w:rFonts w:ascii="Times New Roman" w:eastAsia="Times New Roman" w:hAnsi="Times New Roman" w:cs="Times New Roman"/>
        </w:rPr>
      </w:pPr>
      <w:r>
        <w:rPr>
          <w:rFonts w:ascii="Times New Roman" w:hAnsi="Times New Roman"/>
        </w:rPr>
        <w:t xml:space="preserve">This meta-analysis demonstrates that RFPs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The largest gains occurred under conditions of low soil fertility, high elevation, or significant slope, where these practices likely mitigated structural and nutrient constraints. Our findings highlight the promise of regenerative farming practices for sustainable intensification in marginalized or degraded landscapes—but they also warn against blanket solutions. Optimizing yield gains and adoption requires context-specific, integrated strategies that match regenerative farming practices to local biophysical conditions and on-the-ground realities. In this light, effective policy could include incentive programs and extension services tailored to regional needs, empowering farmers and land managers to implement the most appropriate combinations of regenerative farming practices.  </w:t>
      </w:r>
    </w:p>
    <w:p w14:paraId="7B3167E3" w14:textId="77777777" w:rsidR="00BC2A6D" w:rsidRDefault="00BC2A6D">
      <w:pPr>
        <w:pStyle w:val="Body"/>
        <w:spacing w:after="0" w:line="240" w:lineRule="auto"/>
        <w:jc w:val="both"/>
        <w:rPr>
          <w:rFonts w:ascii="Times New Roman" w:eastAsia="Times New Roman" w:hAnsi="Times New Roman" w:cs="Times New Roman"/>
        </w:rPr>
      </w:pPr>
    </w:p>
    <w:p w14:paraId="316B6780" w14:textId="77777777" w:rsidR="00BC2A6D" w:rsidRDefault="00000000">
      <w:pPr>
        <w:pStyle w:val="NormalWeb"/>
        <w:rPr>
          <w:b/>
          <w:bCs/>
          <w:sz w:val="22"/>
          <w:szCs w:val="22"/>
        </w:rPr>
      </w:pPr>
      <w:r>
        <w:rPr>
          <w:rFonts w:eastAsia="Arial Unicode MS" w:cs="Arial Unicode MS"/>
          <w:b/>
          <w:bCs/>
          <w:sz w:val="22"/>
          <w:szCs w:val="22"/>
        </w:rPr>
        <w:t>References</w:t>
      </w:r>
    </w:p>
    <w:p w14:paraId="006E730B" w14:textId="77777777" w:rsidR="00BC2A6D" w:rsidRDefault="00000000">
      <w:pPr>
        <w:pStyle w:val="EndNoteBibliography"/>
        <w:spacing w:after="0"/>
        <w:ind w:left="720" w:hanging="720"/>
      </w:pPr>
      <w:r>
        <w:fldChar w:fldCharType="begin"/>
      </w:r>
      <w:r>
        <w:instrText xml:space="preserve"> ADDIN EN.REFLIST </w:instrText>
      </w:r>
      <w:r>
        <w:fldChar w:fldCharType="separate"/>
      </w:r>
    </w:p>
    <w:p w14:paraId="284022CC" w14:textId="77777777" w:rsidR="00BC2A6D" w:rsidRDefault="00000000">
      <w:pPr>
        <w:pStyle w:val="EndNoteBibliography"/>
        <w:spacing w:after="0"/>
        <w:ind w:left="720" w:hanging="720"/>
      </w:pPr>
      <w:r>
        <w:t>1</w:t>
      </w:r>
      <w:r>
        <w:tab/>
        <w:t>UNCCD. Summary for Decision Makers (Global Land Outlook) 2nd edn. (2022).</w:t>
      </w:r>
    </w:p>
    <w:p w14:paraId="3F83AF9F" w14:textId="77777777" w:rsidR="00BC2A6D" w:rsidRDefault="00000000">
      <w:pPr>
        <w:pStyle w:val="EndNoteBibliography"/>
        <w:spacing w:after="0"/>
        <w:ind w:left="720" w:hanging="720"/>
      </w:pPr>
      <w:r>
        <w:rPr>
          <w:lang w:val="da-DK"/>
        </w:rPr>
        <w:t>2</w:t>
      </w:r>
      <w:r>
        <w:rPr>
          <w:lang w:val="da-DK"/>
        </w:rPr>
        <w:tab/>
        <w:t xml:space="preserve">Bakker, H. </w:t>
      </w:r>
      <w:r>
        <w:rPr>
          <w:i/>
          <w:iCs/>
        </w:rPr>
        <w:t>The world food crisis: Food security in comparative perspective</w:t>
      </w:r>
      <w:r>
        <w:t>.  (Canadian Scholars Press, 1990).</w:t>
      </w:r>
    </w:p>
    <w:p w14:paraId="39F53EFE" w14:textId="77777777" w:rsidR="00BC2A6D" w:rsidRDefault="00000000">
      <w:pPr>
        <w:pStyle w:val="EndNoteBibliography"/>
        <w:spacing w:after="0"/>
        <w:ind w:left="720" w:hanging="720"/>
      </w:pPr>
      <w:r>
        <w:rPr>
          <w:lang w:val="it-IT"/>
        </w:rPr>
        <w:t>3</w:t>
      </w:r>
      <w:r>
        <w:rPr>
          <w:lang w:val="it-IT"/>
        </w:rPr>
        <w:tab/>
        <w:t>Crippa, M.</w:t>
      </w:r>
      <w:r>
        <w:rPr>
          <w:i/>
          <w:iCs/>
        </w:rPr>
        <w:t xml:space="preserve"> et al.</w:t>
      </w:r>
      <w:r>
        <w:t xml:space="preserve"> Food systems are responsible for a third of global anthropogenic GHG emissions. </w:t>
      </w:r>
      <w:r>
        <w:rPr>
          <w:i/>
          <w:iCs/>
        </w:rPr>
        <w:t>Nature Food</w:t>
      </w:r>
      <w:r>
        <w:t xml:space="preserve"> </w:t>
      </w:r>
      <w:r>
        <w:rPr>
          <w:b/>
          <w:bCs/>
        </w:rPr>
        <w:t>2</w:t>
      </w:r>
      <w:r>
        <w:t xml:space="preserve">, 198–209 (2021). </w:t>
      </w:r>
    </w:p>
    <w:p w14:paraId="107E585D" w14:textId="77777777" w:rsidR="00BC2A6D" w:rsidRDefault="00000000">
      <w:pPr>
        <w:pStyle w:val="EndNoteBibliography"/>
        <w:spacing w:after="0"/>
        <w:ind w:left="720" w:hanging="720"/>
      </w:pPr>
      <w:r>
        <w:rPr>
          <w:lang w:val="da-DK"/>
        </w:rPr>
        <w:t>4</w:t>
      </w:r>
      <w:r>
        <w:rPr>
          <w:lang w:val="da-DK"/>
        </w:rPr>
        <w:tab/>
        <w:t>Bodirsky, B. L.</w:t>
      </w:r>
      <w:r>
        <w:rPr>
          <w:i/>
          <w:iCs/>
        </w:rPr>
        <w:t xml:space="preserve"> et al.</w:t>
      </w:r>
      <w:r>
        <w:t xml:space="preserve"> Global food demand scenarios for the 21 st century. </w:t>
      </w:r>
      <w:r>
        <w:rPr>
          <w:i/>
          <w:iCs/>
        </w:rPr>
        <w:t>PloS one</w:t>
      </w:r>
      <w:r>
        <w:t xml:space="preserve"> </w:t>
      </w:r>
      <w:r>
        <w:rPr>
          <w:b/>
          <w:bCs/>
        </w:rPr>
        <w:t>10</w:t>
      </w:r>
      <w:r>
        <w:t xml:space="preserve">, e0139201 (2015). </w:t>
      </w:r>
    </w:p>
    <w:p w14:paraId="5A10A334" w14:textId="77777777" w:rsidR="00BC2A6D" w:rsidRDefault="00000000">
      <w:pPr>
        <w:pStyle w:val="EndNoteBibliography"/>
        <w:spacing w:after="0"/>
        <w:ind w:left="720" w:hanging="720"/>
      </w:pPr>
      <w:r>
        <w:t>5</w:t>
      </w:r>
      <w:r>
        <w:tab/>
        <w:t xml:space="preserve">Newton, P., Civita, N., Frankel-Goldwater, L., Bartel, K. &amp; Johns, C. What is regenerative agriculture? A review of scholar and practitioner definitions based on processes and outcomes. </w:t>
      </w:r>
      <w:r>
        <w:rPr>
          <w:i/>
          <w:iCs/>
        </w:rPr>
        <w:t>Frontiers in Sustainable Food Systems</w:t>
      </w:r>
      <w:r>
        <w:t xml:space="preserve"> </w:t>
      </w:r>
      <w:r>
        <w:rPr>
          <w:b/>
          <w:bCs/>
        </w:rPr>
        <w:t>4</w:t>
      </w:r>
      <w:r>
        <w:t xml:space="preserve">, 577723 (2020). </w:t>
      </w:r>
    </w:p>
    <w:p w14:paraId="4B51DD4E" w14:textId="77777777" w:rsidR="00BC2A6D" w:rsidRDefault="00000000">
      <w:pPr>
        <w:pStyle w:val="EndNoteBibliography"/>
        <w:spacing w:after="0"/>
        <w:ind w:left="720" w:hanging="720"/>
      </w:pPr>
      <w:r>
        <w:t>6</w:t>
      </w:r>
      <w:r>
        <w:tab/>
        <w:t xml:space="preserve">Rehberger, E., West, P. C., Spillane, C. &amp; McKeown, P. C. What climate and environmental benefits of regenerative agriculture practices? an evidence review. </w:t>
      </w:r>
      <w:r>
        <w:rPr>
          <w:i/>
          <w:iCs/>
        </w:rPr>
        <w:t>Environmental Research Communications</w:t>
      </w:r>
      <w:r>
        <w:t xml:space="preserve"> </w:t>
      </w:r>
      <w:r>
        <w:rPr>
          <w:b/>
          <w:bCs/>
        </w:rPr>
        <w:t>5</w:t>
      </w:r>
      <w:r>
        <w:t xml:space="preserve">, 052001 (2023). </w:t>
      </w:r>
    </w:p>
    <w:p w14:paraId="1EA3C3E4" w14:textId="77777777" w:rsidR="00BC2A6D" w:rsidRDefault="00000000">
      <w:pPr>
        <w:pStyle w:val="EndNoteBibliography"/>
        <w:spacing w:after="0"/>
        <w:ind w:left="720" w:hanging="720"/>
      </w:pPr>
      <w:r>
        <w:t>7</w:t>
      </w:r>
      <w:r>
        <w:tab/>
        <w:t>O</w:t>
      </w:r>
      <w:r>
        <w:rPr>
          <w:rtl/>
        </w:rPr>
        <w:t>’</w:t>
      </w:r>
      <w:r>
        <w:t xml:space="preserve">Donoghue, T., Minasny, B. &amp; McBratney, A. Digital Regenerative Agriculture. </w:t>
      </w:r>
      <w:r>
        <w:rPr>
          <w:i/>
          <w:iCs/>
        </w:rPr>
        <w:t>npj Sustainable Agriculture</w:t>
      </w:r>
      <w:r>
        <w:t xml:space="preserve"> </w:t>
      </w:r>
      <w:r>
        <w:rPr>
          <w:b/>
          <w:bCs/>
        </w:rPr>
        <w:t>2</w:t>
      </w:r>
      <w:r>
        <w:t xml:space="preserve">, 5 (2024). </w:t>
      </w:r>
    </w:p>
    <w:p w14:paraId="0B9ED168" w14:textId="77777777" w:rsidR="00BC2A6D" w:rsidRDefault="00000000">
      <w:pPr>
        <w:pStyle w:val="EndNoteBibliography"/>
        <w:spacing w:after="0"/>
        <w:ind w:left="720" w:hanging="720"/>
      </w:pPr>
      <w:r>
        <w:rPr>
          <w:lang w:val="nl-NL"/>
        </w:rPr>
        <w:t>8</w:t>
      </w:r>
      <w:r>
        <w:rPr>
          <w:lang w:val="nl-NL"/>
        </w:rPr>
        <w:tab/>
        <w:t>Schreefel, L., Schulte, R. P., De Boer, I., Schrijver, A. P. &amp; Van Zanten, H. Regenerative agriculture</w:t>
      </w:r>
      <w:r>
        <w:t xml:space="preserve">–the soil is the base. </w:t>
      </w:r>
      <w:r>
        <w:rPr>
          <w:i/>
          <w:iCs/>
        </w:rPr>
        <w:t>Global Food Security</w:t>
      </w:r>
      <w:r>
        <w:t xml:space="preserve"> </w:t>
      </w:r>
      <w:r>
        <w:rPr>
          <w:b/>
          <w:bCs/>
        </w:rPr>
        <w:t>26</w:t>
      </w:r>
      <w:r>
        <w:t xml:space="preserve">, 100404 (2020). </w:t>
      </w:r>
    </w:p>
    <w:p w14:paraId="66D43282" w14:textId="77777777" w:rsidR="00BC2A6D" w:rsidRDefault="00000000">
      <w:pPr>
        <w:pStyle w:val="EndNoteBibliography"/>
        <w:spacing w:after="0"/>
        <w:ind w:left="720" w:hanging="720"/>
      </w:pPr>
      <w:r>
        <w:t>9</w:t>
      </w:r>
      <w:r>
        <w:tab/>
        <w:t xml:space="preserve">Khangura, R., Ferris, D., Wagg, C. &amp; Bowyer, J. Regenerative agriculture—A literature review on the practices and mechanisms used to improve soil health. </w:t>
      </w:r>
      <w:r>
        <w:rPr>
          <w:i/>
          <w:iCs/>
        </w:rPr>
        <w:t>Sustainability</w:t>
      </w:r>
      <w:r>
        <w:t xml:space="preserve"> </w:t>
      </w:r>
      <w:r>
        <w:rPr>
          <w:b/>
          <w:bCs/>
        </w:rPr>
        <w:t>15</w:t>
      </w:r>
      <w:r>
        <w:t xml:space="preserve">, 2338 (2023). </w:t>
      </w:r>
    </w:p>
    <w:p w14:paraId="75A29A1D" w14:textId="77777777" w:rsidR="00BC2A6D" w:rsidRDefault="00000000">
      <w:pPr>
        <w:pStyle w:val="EndNoteBibliography"/>
        <w:spacing w:after="0"/>
        <w:ind w:left="720" w:hanging="720"/>
      </w:pPr>
      <w:r>
        <w:t>10</w:t>
      </w:r>
      <w:r>
        <w:tab/>
        <w:t>Haddaway, N. R.</w:t>
      </w:r>
      <w:r>
        <w:rPr>
          <w:i/>
          <w:iCs/>
        </w:rPr>
        <w:t xml:space="preserve"> et al.</w:t>
      </w:r>
      <w:r>
        <w:t xml:space="preserve"> How does tillage intensity affect soil organic carbon? A systematic review. </w:t>
      </w:r>
      <w:r>
        <w:rPr>
          <w:i/>
          <w:iCs/>
        </w:rPr>
        <w:t>Environmental Evidence</w:t>
      </w:r>
      <w:r>
        <w:t xml:space="preserve"> </w:t>
      </w:r>
      <w:r>
        <w:rPr>
          <w:b/>
          <w:bCs/>
        </w:rPr>
        <w:t>6</w:t>
      </w:r>
      <w:r>
        <w:t xml:space="preserve">, 1–48 (2017). </w:t>
      </w:r>
    </w:p>
    <w:p w14:paraId="79FF3228" w14:textId="77777777" w:rsidR="00BC2A6D" w:rsidRDefault="00000000">
      <w:pPr>
        <w:pStyle w:val="EndNoteBibliography"/>
        <w:spacing w:after="0"/>
        <w:ind w:left="720" w:hanging="720"/>
      </w:pPr>
      <w:r>
        <w:lastRenderedPageBreak/>
        <w:t>11</w:t>
      </w:r>
      <w:r>
        <w:tab/>
        <w:t xml:space="preserve">Ren, X., Zou, W., Jiao, J., Stewart, R. &amp; Jian, J. Soil properties affect crop yield changes under conservation agriculture: A systematic analysis. </w:t>
      </w:r>
      <w:r>
        <w:rPr>
          <w:i/>
          <w:iCs/>
        </w:rPr>
        <w:t>European Journal of Soil Science</w:t>
      </w:r>
      <w:r>
        <w:t xml:space="preserve"> </w:t>
      </w:r>
      <w:r>
        <w:rPr>
          <w:b/>
          <w:bCs/>
          <w:lang w:val="ru-RU"/>
        </w:rPr>
        <w:t>74</w:t>
      </w:r>
      <w:r>
        <w:t xml:space="preserve">, e13413 (2023). </w:t>
      </w:r>
    </w:p>
    <w:p w14:paraId="4E3430D3" w14:textId="77777777" w:rsidR="00BC2A6D" w:rsidRDefault="00000000">
      <w:pPr>
        <w:pStyle w:val="EndNoteBibliography"/>
        <w:spacing w:after="0"/>
        <w:ind w:left="720" w:hanging="720"/>
      </w:pPr>
      <w:r>
        <w:t>12</w:t>
      </w:r>
      <w:r>
        <w:tab/>
        <w:t xml:space="preserve">Su, Y., Gabrielle, B. &amp; Makowski, D. The impact of climate change on the productivity of conservation agriculture. </w:t>
      </w:r>
      <w:r>
        <w:rPr>
          <w:i/>
          <w:iCs/>
        </w:rPr>
        <w:t>Nature Climate Change</w:t>
      </w:r>
      <w:r>
        <w:t xml:space="preserve"> </w:t>
      </w:r>
      <w:r>
        <w:rPr>
          <w:b/>
          <w:bCs/>
        </w:rPr>
        <w:t>11</w:t>
      </w:r>
      <w:r>
        <w:t xml:space="preserve">, 628–633 (2021). </w:t>
      </w:r>
    </w:p>
    <w:p w14:paraId="4341F814" w14:textId="77777777" w:rsidR="00BC2A6D" w:rsidRDefault="00000000">
      <w:pPr>
        <w:pStyle w:val="EndNoteBibliography"/>
        <w:spacing w:after="0"/>
        <w:ind w:left="720" w:hanging="720"/>
      </w:pPr>
      <w:r>
        <w:rPr>
          <w:lang w:val="nl-NL"/>
        </w:rPr>
        <w:t>13</w:t>
      </w:r>
      <w:r>
        <w:rPr>
          <w:lang w:val="nl-NL"/>
        </w:rPr>
        <w:tab/>
        <w:t xml:space="preserve">Giller, K. E., Hijbeek, R., Andersson, J. A. &amp; Sumberg, J. Regenerative agriculture: an agronomic perspective. </w:t>
      </w:r>
      <w:r>
        <w:rPr>
          <w:i/>
          <w:iCs/>
        </w:rPr>
        <w:t>Outlook on agriculture</w:t>
      </w:r>
      <w:r>
        <w:t xml:space="preserve"> </w:t>
      </w:r>
      <w:r>
        <w:rPr>
          <w:b/>
          <w:bCs/>
        </w:rPr>
        <w:t>50</w:t>
      </w:r>
      <w:r>
        <w:t xml:space="preserve">, 13–25 (2021). </w:t>
      </w:r>
    </w:p>
    <w:p w14:paraId="54D6E08B" w14:textId="77777777" w:rsidR="00BC2A6D" w:rsidRDefault="00000000">
      <w:pPr>
        <w:pStyle w:val="EndNoteBibliography"/>
        <w:spacing w:after="0"/>
        <w:ind w:left="720" w:hanging="720"/>
      </w:pPr>
      <w:r>
        <w:t>14</w:t>
      </w:r>
      <w:r>
        <w:tab/>
        <w:t xml:space="preserve">Ranganathan, J., Waite, R., Searchinger, T. &amp; Zionts, J. Regenerative agriculture: Good for soil health, but limited potential to mitigate climate change. </w:t>
      </w:r>
      <w:r>
        <w:rPr>
          <w:i/>
          <w:iCs/>
        </w:rPr>
        <w:t>World Resources Institute: Washington, DC, USA</w:t>
      </w:r>
      <w:r>
        <w:t xml:space="preserve"> (2020). </w:t>
      </w:r>
    </w:p>
    <w:p w14:paraId="52712710" w14:textId="77777777" w:rsidR="00BC2A6D" w:rsidRDefault="00000000">
      <w:pPr>
        <w:pStyle w:val="EndNoteBibliography"/>
        <w:spacing w:after="0"/>
        <w:ind w:left="720" w:hanging="720"/>
      </w:pPr>
      <w:r>
        <w:rPr>
          <w:lang w:val="de-DE"/>
        </w:rPr>
        <w:t>15</w:t>
      </w:r>
      <w:r>
        <w:rPr>
          <w:lang w:val="de-DE"/>
        </w:rPr>
        <w:tab/>
        <w:t>Pittelkow, C. M.</w:t>
      </w:r>
      <w:r>
        <w:rPr>
          <w:i/>
          <w:iCs/>
        </w:rPr>
        <w:t xml:space="preserve"> et al.</w:t>
      </w:r>
      <w:r>
        <w:t xml:space="preserve"> Productivity limits and potentials of the principles of conservation agriculture. </w:t>
      </w:r>
      <w:r w:rsidRPr="009800E7">
        <w:rPr>
          <w:i/>
          <w:iCs/>
        </w:rPr>
        <w:t>Nature</w:t>
      </w:r>
      <w:r>
        <w:t xml:space="preserve"> </w:t>
      </w:r>
      <w:r>
        <w:rPr>
          <w:b/>
          <w:bCs/>
        </w:rPr>
        <w:t>517</w:t>
      </w:r>
      <w:r>
        <w:t xml:space="preserve">, 365–368 (2015). </w:t>
      </w:r>
    </w:p>
    <w:p w14:paraId="59F4603C" w14:textId="77777777" w:rsidR="00BC2A6D" w:rsidRDefault="00000000">
      <w:pPr>
        <w:pStyle w:val="EndNoteBibliography"/>
        <w:spacing w:after="0"/>
        <w:ind w:left="720" w:hanging="720"/>
      </w:pPr>
      <w:r>
        <w:t>16</w:t>
      </w:r>
      <w:r>
        <w:tab/>
        <w:t>Huang, Y.</w:t>
      </w:r>
      <w:r>
        <w:rPr>
          <w:i/>
          <w:iCs/>
        </w:rPr>
        <w:t xml:space="preserve"> et al.</w:t>
      </w:r>
      <w:r>
        <w:t xml:space="preserve"> Greenhouse gas emissions and crop yield in no-tillage systems: A meta-analysis. </w:t>
      </w:r>
      <w:r>
        <w:rPr>
          <w:i/>
          <w:iCs/>
        </w:rPr>
        <w:t>Agriculture, Ecosystems &amp; Environment</w:t>
      </w:r>
      <w:r>
        <w:t xml:space="preserve"> </w:t>
      </w:r>
      <w:r>
        <w:rPr>
          <w:b/>
          <w:bCs/>
        </w:rPr>
        <w:t>268</w:t>
      </w:r>
      <w:r>
        <w:t xml:space="preserve">, 144–153 (2018). </w:t>
      </w:r>
    </w:p>
    <w:p w14:paraId="0F1CCC52" w14:textId="77777777" w:rsidR="00BC2A6D" w:rsidRDefault="00000000">
      <w:pPr>
        <w:pStyle w:val="EndNoteBibliography"/>
        <w:spacing w:after="0"/>
        <w:ind w:left="720" w:hanging="720"/>
      </w:pPr>
      <w:r>
        <w:t>17</w:t>
      </w:r>
      <w:r>
        <w:tab/>
        <w:t xml:space="preserve">Al‐Kaisi, M. M. &amp; Lal, R. Aligning science and policy of regenerative agriculture. </w:t>
      </w:r>
      <w:r>
        <w:rPr>
          <w:i/>
          <w:iCs/>
        </w:rPr>
        <w:t>Soil Science Society of America Journal</w:t>
      </w:r>
      <w:r>
        <w:t xml:space="preserve"> </w:t>
      </w:r>
      <w:r>
        <w:rPr>
          <w:b/>
          <w:bCs/>
        </w:rPr>
        <w:t>84</w:t>
      </w:r>
      <w:r>
        <w:t xml:space="preserve">, 1808–1820 (2020). </w:t>
      </w:r>
    </w:p>
    <w:p w14:paraId="5ED71631" w14:textId="77777777" w:rsidR="00BC2A6D" w:rsidRDefault="00000000">
      <w:pPr>
        <w:pStyle w:val="EndNoteBibliography"/>
        <w:spacing w:after="0"/>
        <w:ind w:left="720" w:hanging="720"/>
      </w:pPr>
      <w:r>
        <w:rPr>
          <w:lang w:val="nl-NL"/>
        </w:rPr>
        <w:t>18</w:t>
      </w:r>
      <w:r>
        <w:rPr>
          <w:lang w:val="nl-NL"/>
        </w:rPr>
        <w:tab/>
        <w:t xml:space="preserve">Knapp, S. &amp; van der Heijden, M. G. A global meta-analysis of yield stability in organic and conservation agriculture. </w:t>
      </w:r>
      <w:r w:rsidRPr="009800E7">
        <w:rPr>
          <w:i/>
          <w:iCs/>
        </w:rPr>
        <w:t>Nature communications</w:t>
      </w:r>
      <w:r>
        <w:t xml:space="preserve"> </w:t>
      </w:r>
      <w:r>
        <w:rPr>
          <w:b/>
          <w:bCs/>
        </w:rPr>
        <w:t>9</w:t>
      </w:r>
      <w:r>
        <w:t xml:space="preserve">, 3632 (2018). </w:t>
      </w:r>
    </w:p>
    <w:p w14:paraId="7C7B3CAD" w14:textId="77777777" w:rsidR="00BC2A6D" w:rsidRDefault="00000000">
      <w:pPr>
        <w:pStyle w:val="EndNoteBibliography"/>
        <w:spacing w:after="0"/>
        <w:ind w:left="720" w:hanging="720"/>
      </w:pPr>
      <w:r>
        <w:t>19</w:t>
      </w:r>
      <w:r>
        <w:tab/>
        <w:t xml:space="preserve">Baier, C., Gross, A., Thevs, N. &amp; Glaser, B. Effects of agroforestry on grain yield of maize (Zea mays L.)—A global meta-analysis. </w:t>
      </w:r>
      <w:r>
        <w:rPr>
          <w:i/>
          <w:iCs/>
        </w:rPr>
        <w:t>Frontiers in Sustainable Food Systems</w:t>
      </w:r>
      <w:r>
        <w:t xml:space="preserve"> </w:t>
      </w:r>
      <w:r>
        <w:rPr>
          <w:b/>
          <w:bCs/>
        </w:rPr>
        <w:t>7</w:t>
      </w:r>
      <w:r>
        <w:t xml:space="preserve">, 1167686 (2023). </w:t>
      </w:r>
    </w:p>
    <w:p w14:paraId="1ED3A1C0" w14:textId="77777777" w:rsidR="00BC2A6D" w:rsidRDefault="00000000">
      <w:pPr>
        <w:pStyle w:val="EndNoteBibliography"/>
        <w:spacing w:after="0"/>
        <w:ind w:left="720" w:hanging="720"/>
      </w:pPr>
      <w:r>
        <w:t>20</w:t>
      </w:r>
      <w:r>
        <w:tab/>
        <w:t xml:space="preserve">Ivezić, V., Yu, Y. &amp; Werf, W. v. d. Crop yields in European agroforestry systems: a meta-analysis. </w:t>
      </w:r>
      <w:r>
        <w:rPr>
          <w:i/>
          <w:iCs/>
        </w:rPr>
        <w:t>Frontiers in Sustainable Food Systems</w:t>
      </w:r>
      <w:r>
        <w:t xml:space="preserve"> </w:t>
      </w:r>
      <w:r>
        <w:rPr>
          <w:b/>
          <w:bCs/>
        </w:rPr>
        <w:t>5</w:t>
      </w:r>
      <w:r>
        <w:t xml:space="preserve">, 606631 (2021). </w:t>
      </w:r>
    </w:p>
    <w:p w14:paraId="37F1019E" w14:textId="77777777" w:rsidR="00BC2A6D" w:rsidRDefault="00000000">
      <w:pPr>
        <w:pStyle w:val="EndNoteBibliography"/>
        <w:spacing w:after="0"/>
        <w:ind w:left="720" w:hanging="720"/>
      </w:pPr>
      <w:r>
        <w:t>21</w:t>
      </w:r>
      <w:r>
        <w:tab/>
        <w:t xml:space="preserve">Peng, Y., Wang, L., Jacinthe, P.-A. &amp; Ren, W. Global synthesis of cover crop impacts on main crop yield. </w:t>
      </w:r>
      <w:r>
        <w:rPr>
          <w:i/>
          <w:iCs/>
        </w:rPr>
        <w:t>Field Crops Research</w:t>
      </w:r>
      <w:r>
        <w:t xml:space="preserve"> </w:t>
      </w:r>
      <w:r>
        <w:rPr>
          <w:b/>
          <w:bCs/>
        </w:rPr>
        <w:t>310</w:t>
      </w:r>
      <w:r>
        <w:t xml:space="preserve">, 109343 (2024). </w:t>
      </w:r>
    </w:p>
    <w:p w14:paraId="33D7CD16" w14:textId="77777777" w:rsidR="00BC2A6D" w:rsidRDefault="00000000">
      <w:pPr>
        <w:pStyle w:val="EndNoteBibliography"/>
        <w:spacing w:after="0"/>
        <w:ind w:left="720" w:hanging="720"/>
      </w:pPr>
      <w:r>
        <w:t>22</w:t>
      </w:r>
      <w:r>
        <w:tab/>
        <w:t xml:space="preserve">Clark, A. J., Decker, A. M., Meisinger, J. J. &amp; McIntosh, M. S. Kill date of vetch, rye, and a vetch—rye mixture: II. Soil moisture and corn yield. </w:t>
      </w:r>
      <w:r>
        <w:rPr>
          <w:i/>
          <w:iCs/>
        </w:rPr>
        <w:t>Agronomy Journal</w:t>
      </w:r>
      <w:r>
        <w:t xml:space="preserve"> </w:t>
      </w:r>
      <w:r>
        <w:rPr>
          <w:b/>
          <w:bCs/>
        </w:rPr>
        <w:t>89</w:t>
      </w:r>
      <w:r>
        <w:rPr>
          <w:lang w:val="ru-RU"/>
        </w:rPr>
        <w:t>, 434</w:t>
      </w:r>
      <w:r>
        <w:t xml:space="preserve">–441 (1997). </w:t>
      </w:r>
    </w:p>
    <w:p w14:paraId="78E391CA" w14:textId="77777777" w:rsidR="00BC2A6D" w:rsidRDefault="00000000">
      <w:pPr>
        <w:pStyle w:val="EndNoteBibliography"/>
        <w:spacing w:after="0"/>
        <w:ind w:left="720" w:hanging="720"/>
      </w:pPr>
      <w:r>
        <w:t>23</w:t>
      </w:r>
      <w:r>
        <w:tab/>
        <w:t xml:space="preserve">Thorup-Kristensen, K., Magid, J. &amp; Jensen, L. S. Catch crops and green manures as biological tools in nitrogen management in temperate zones. </w:t>
      </w:r>
      <w:r>
        <w:rPr>
          <w:i/>
          <w:iCs/>
        </w:rPr>
        <w:t>Advances in Agronomy</w:t>
      </w:r>
      <w:r>
        <w:t xml:space="preserve"> </w:t>
      </w:r>
      <w:r>
        <w:rPr>
          <w:b/>
          <w:bCs/>
        </w:rPr>
        <w:t>79</w:t>
      </w:r>
      <w:r>
        <w:t xml:space="preserve">, 227–302 (2003). </w:t>
      </w:r>
    </w:p>
    <w:p w14:paraId="4D5CF98E" w14:textId="77777777" w:rsidR="00BC2A6D" w:rsidRDefault="00000000">
      <w:pPr>
        <w:pStyle w:val="EndNoteBibliography"/>
        <w:spacing w:after="0"/>
        <w:ind w:left="720" w:hanging="720"/>
      </w:pPr>
      <w:r>
        <w:rPr>
          <w:lang w:val="da-DK"/>
        </w:rPr>
        <w:t>24</w:t>
      </w:r>
      <w:r>
        <w:rPr>
          <w:lang w:val="da-DK"/>
        </w:rPr>
        <w:tab/>
        <w:t>Nielsen, D. C.</w:t>
      </w:r>
      <w:r>
        <w:rPr>
          <w:i/>
          <w:iCs/>
        </w:rPr>
        <w:t xml:space="preserve"> et al.</w:t>
      </w:r>
      <w:r>
        <w:t xml:space="preserve"> Cover crop effect on subsequent wheat yield in the central Great Plains. </w:t>
      </w:r>
      <w:r>
        <w:rPr>
          <w:i/>
          <w:iCs/>
        </w:rPr>
        <w:t>Agronomy Journal</w:t>
      </w:r>
      <w:r>
        <w:t xml:space="preserve"> </w:t>
      </w:r>
      <w:r>
        <w:rPr>
          <w:b/>
          <w:bCs/>
        </w:rPr>
        <w:t>108</w:t>
      </w:r>
      <w:r>
        <w:t xml:space="preserve">, 243–256 (2016). </w:t>
      </w:r>
    </w:p>
    <w:p w14:paraId="02DE8A24" w14:textId="77777777" w:rsidR="00BC2A6D" w:rsidRDefault="00000000">
      <w:pPr>
        <w:pStyle w:val="EndNoteBibliography"/>
        <w:spacing w:after="0"/>
        <w:ind w:left="720" w:hanging="720"/>
      </w:pPr>
      <w:r>
        <w:t>25</w:t>
      </w:r>
      <w:r>
        <w:tab/>
        <w:t xml:space="preserve">Lal, R. Regenerative agriculture for food and climate. </w:t>
      </w:r>
      <w:r>
        <w:rPr>
          <w:i/>
          <w:iCs/>
        </w:rPr>
        <w:t>Journal of soil and water conservation</w:t>
      </w:r>
      <w:r>
        <w:t xml:space="preserve"> </w:t>
      </w:r>
      <w:r>
        <w:rPr>
          <w:b/>
          <w:bCs/>
        </w:rPr>
        <w:t>75</w:t>
      </w:r>
      <w:r>
        <w:t xml:space="preserve">, 123A–124A (2020). </w:t>
      </w:r>
    </w:p>
    <w:p w14:paraId="2E663A7B" w14:textId="77777777" w:rsidR="00BC2A6D" w:rsidRDefault="00000000">
      <w:pPr>
        <w:pStyle w:val="EndNoteBibliography"/>
        <w:spacing w:after="0"/>
        <w:ind w:left="720" w:hanging="720"/>
      </w:pPr>
      <w:r>
        <w:t>26</w:t>
      </w:r>
      <w:r>
        <w:tab/>
        <w:t xml:space="preserve">Mattila, T. J. &amp; Häkkinen, L. Exploring the effects of soil structure, nutrients, and farm management on crop root biomass and depth distribution. </w:t>
      </w:r>
      <w:r>
        <w:rPr>
          <w:i/>
          <w:iCs/>
        </w:rPr>
        <w:t>Field Crops Research</w:t>
      </w:r>
      <w:r>
        <w:t xml:space="preserve"> </w:t>
      </w:r>
      <w:r>
        <w:rPr>
          <w:b/>
          <w:bCs/>
        </w:rPr>
        <w:t>327</w:t>
      </w:r>
      <w:r>
        <w:t xml:space="preserve">, 109909 (2025). </w:t>
      </w:r>
    </w:p>
    <w:p w14:paraId="22DE4B64" w14:textId="77777777" w:rsidR="00BC2A6D" w:rsidRDefault="00000000">
      <w:pPr>
        <w:pStyle w:val="EndNoteBibliography"/>
        <w:spacing w:after="0"/>
        <w:ind w:left="720" w:hanging="720"/>
      </w:pPr>
      <w:r>
        <w:rPr>
          <w:lang w:val="pt-PT"/>
        </w:rPr>
        <w:t>27</w:t>
      </w:r>
      <w:r>
        <w:rPr>
          <w:lang w:val="pt-PT"/>
        </w:rPr>
        <w:tab/>
        <w:t>Oliveira, E. M.</w:t>
      </w:r>
      <w:r>
        <w:rPr>
          <w:i/>
          <w:iCs/>
        </w:rPr>
        <w:t xml:space="preserve"> et al.</w:t>
      </w:r>
      <w:r>
        <w:t xml:space="preserve"> Effects of conventional, organic and conservation agriculture on soil physical properties, root growth and microbial habitats in a long-term field experiment. </w:t>
      </w:r>
      <w:r>
        <w:rPr>
          <w:i/>
          <w:iCs/>
          <w:lang w:val="de-DE"/>
        </w:rPr>
        <w:t>Geoderma</w:t>
      </w:r>
      <w:r>
        <w:t xml:space="preserve"> </w:t>
      </w:r>
      <w:r>
        <w:rPr>
          <w:b/>
          <w:bCs/>
        </w:rPr>
        <w:t>447</w:t>
      </w:r>
      <w:r>
        <w:t xml:space="preserve">, 116927 (2024). </w:t>
      </w:r>
    </w:p>
    <w:p w14:paraId="44FF097A" w14:textId="77777777" w:rsidR="00BC2A6D" w:rsidRDefault="00000000">
      <w:pPr>
        <w:pStyle w:val="EndNoteBibliography"/>
        <w:spacing w:after="0"/>
        <w:ind w:left="720" w:hanging="720"/>
      </w:pPr>
      <w:r>
        <w:t>28</w:t>
      </w:r>
      <w:r>
        <w:tab/>
        <w:t xml:space="preserve">Strock, C. F., Rangarajan, H., Black, C. K., Schäfer, E. D. &amp; Lynch, J. P. Theoretical evidence that root penetration ability interacts with soil compaction regimes to affect nitrate capture. </w:t>
      </w:r>
      <w:r>
        <w:rPr>
          <w:i/>
          <w:iCs/>
        </w:rPr>
        <w:t>Annals of botany</w:t>
      </w:r>
      <w:r>
        <w:t xml:space="preserve"> </w:t>
      </w:r>
      <w:r>
        <w:rPr>
          <w:b/>
          <w:bCs/>
        </w:rPr>
        <w:t>129</w:t>
      </w:r>
      <w:r>
        <w:t xml:space="preserve">, 315–330 (2022). </w:t>
      </w:r>
    </w:p>
    <w:p w14:paraId="071B7879" w14:textId="77777777" w:rsidR="00BC2A6D" w:rsidRDefault="00000000">
      <w:pPr>
        <w:pStyle w:val="EndNoteBibliography"/>
        <w:spacing w:after="0"/>
        <w:ind w:left="720" w:hanging="720"/>
      </w:pPr>
      <w:r>
        <w:t>29</w:t>
      </w:r>
      <w:r>
        <w:tab/>
        <w:t xml:space="preserve">Oldfield, E. E., Bradford, M. A. &amp; Wood, S. A. Global meta-analysis of the relationship between soil organic matter and crop yields. </w:t>
      </w:r>
      <w:r>
        <w:rPr>
          <w:i/>
          <w:iCs/>
        </w:rPr>
        <w:t>Soil</w:t>
      </w:r>
      <w:r>
        <w:t xml:space="preserve"> </w:t>
      </w:r>
      <w:r>
        <w:rPr>
          <w:b/>
          <w:bCs/>
        </w:rPr>
        <w:t>5</w:t>
      </w:r>
      <w:r>
        <w:t xml:space="preserve">, 15–32 (2019). </w:t>
      </w:r>
    </w:p>
    <w:p w14:paraId="43E963B1" w14:textId="77777777" w:rsidR="00BC2A6D" w:rsidRDefault="00000000">
      <w:pPr>
        <w:pStyle w:val="EndNoteBibliography"/>
        <w:spacing w:after="0"/>
        <w:ind w:left="720" w:hanging="720"/>
      </w:pPr>
      <w:r>
        <w:t>30</w:t>
      </w:r>
      <w:r>
        <w:tab/>
        <w:t>Zhao, C.</w:t>
      </w:r>
      <w:r>
        <w:rPr>
          <w:i/>
          <w:iCs/>
        </w:rPr>
        <w:t xml:space="preserve"> et al.</w:t>
      </w:r>
      <w:r>
        <w:t xml:space="preserve"> Temperature increase reduces global yields of major crops in four independent estimates. </w:t>
      </w:r>
      <w:r>
        <w:rPr>
          <w:i/>
          <w:iCs/>
        </w:rPr>
        <w:t>Proceedings of the National Academy of sciences</w:t>
      </w:r>
      <w:r>
        <w:t xml:space="preserve"> </w:t>
      </w:r>
      <w:r>
        <w:rPr>
          <w:b/>
          <w:bCs/>
        </w:rPr>
        <w:t>114</w:t>
      </w:r>
      <w:r>
        <w:t xml:space="preserve">, 9326–9331 (2017). </w:t>
      </w:r>
    </w:p>
    <w:p w14:paraId="6BA25DCE" w14:textId="77777777" w:rsidR="00BC2A6D" w:rsidRDefault="00000000">
      <w:pPr>
        <w:pStyle w:val="EndNoteBibliography"/>
        <w:spacing w:after="0"/>
        <w:ind w:left="720" w:hanging="720"/>
      </w:pPr>
      <w:r>
        <w:t>31</w:t>
      </w:r>
      <w:r>
        <w:tab/>
        <w:t>Myers, S. S.</w:t>
      </w:r>
      <w:r>
        <w:rPr>
          <w:i/>
          <w:iCs/>
        </w:rPr>
        <w:t xml:space="preserve"> et al.</w:t>
      </w:r>
      <w:r>
        <w:t xml:space="preserve"> Climate change and global food systems: potential impacts on food security and undernutrition. </w:t>
      </w:r>
      <w:r>
        <w:rPr>
          <w:i/>
          <w:iCs/>
        </w:rPr>
        <w:t>Annual review of public health</w:t>
      </w:r>
      <w:r>
        <w:t xml:space="preserve"> </w:t>
      </w:r>
      <w:r>
        <w:rPr>
          <w:b/>
          <w:bCs/>
        </w:rPr>
        <w:t>38</w:t>
      </w:r>
      <w:r>
        <w:t xml:space="preserve">, 259–277 (2017). </w:t>
      </w:r>
    </w:p>
    <w:p w14:paraId="4EF5A63D" w14:textId="77777777" w:rsidR="00BC2A6D" w:rsidRDefault="00000000">
      <w:pPr>
        <w:pStyle w:val="EndNoteBibliography"/>
        <w:spacing w:after="0"/>
        <w:ind w:left="720" w:hanging="720"/>
      </w:pPr>
      <w:r>
        <w:lastRenderedPageBreak/>
        <w:t>32</w:t>
      </w:r>
      <w:r>
        <w:tab/>
        <w:t xml:space="preserve">Zhao, J., Wang, Z., Dong, Y., Yang, Z. &amp; Govers, G. How soil erosion and runoff are related to land use, topography and annual precipitation: Insights from a meta-analysis of erosion plots in China. </w:t>
      </w:r>
      <w:r>
        <w:rPr>
          <w:i/>
          <w:iCs/>
        </w:rPr>
        <w:t>Science of the Total Environment</w:t>
      </w:r>
      <w:r>
        <w:t xml:space="preserve"> </w:t>
      </w:r>
      <w:r>
        <w:rPr>
          <w:b/>
          <w:bCs/>
        </w:rPr>
        <w:t>802</w:t>
      </w:r>
      <w:r>
        <w:t xml:space="preserve">, 149665 (2022). </w:t>
      </w:r>
    </w:p>
    <w:p w14:paraId="40F75C7C" w14:textId="77777777" w:rsidR="00BC2A6D" w:rsidRDefault="00000000">
      <w:pPr>
        <w:pStyle w:val="EndNoteBibliography"/>
        <w:spacing w:after="0"/>
        <w:ind w:left="720" w:hanging="720"/>
      </w:pPr>
      <w:r>
        <w:t>33</w:t>
      </w:r>
      <w:r>
        <w:tab/>
        <w:t xml:space="preserve">Sun, C., Hou, H. &amp; Chen, W. Effects of vegetation cover and slope on soil erosion in the Eastern Chinese Loess Plateau under different rainfall regimes. </w:t>
      </w:r>
      <w:r>
        <w:rPr>
          <w:i/>
          <w:iCs/>
          <w:lang w:val="nl-NL"/>
        </w:rPr>
        <w:t>PeerJ</w:t>
      </w:r>
      <w:r>
        <w:t xml:space="preserve"> </w:t>
      </w:r>
      <w:r>
        <w:rPr>
          <w:b/>
          <w:bCs/>
        </w:rPr>
        <w:t>9</w:t>
      </w:r>
      <w:r>
        <w:t xml:space="preserve">, e11226 (2021). </w:t>
      </w:r>
    </w:p>
    <w:p w14:paraId="6CA3D138" w14:textId="77777777" w:rsidR="00BC2A6D" w:rsidRDefault="00000000">
      <w:pPr>
        <w:pStyle w:val="EndNoteBibliography"/>
        <w:spacing w:after="0"/>
        <w:ind w:left="720" w:hanging="720"/>
      </w:pPr>
      <w:r>
        <w:t>34</w:t>
      </w:r>
      <w:r>
        <w:tab/>
        <w:t xml:space="preserve">Ewunetu, T., Selassie, Y. G., Molla, E., Admase, H. &amp; Gezahegn, A. Soil properties under different land uses and slope gradients: Implications for sustainable land management in the Tach Karnuary watershed, Northwestern Ethiopia. </w:t>
      </w:r>
      <w:r>
        <w:rPr>
          <w:i/>
          <w:iCs/>
        </w:rPr>
        <w:t>Frontiers in Environmental Science</w:t>
      </w:r>
      <w:r>
        <w:t xml:space="preserve"> </w:t>
      </w:r>
      <w:r>
        <w:rPr>
          <w:b/>
          <w:bCs/>
        </w:rPr>
        <w:t>13</w:t>
      </w:r>
      <w:r>
        <w:t xml:space="preserve">, 1518068 (2025). </w:t>
      </w:r>
    </w:p>
    <w:p w14:paraId="639E38D1" w14:textId="77777777" w:rsidR="00BC2A6D" w:rsidRDefault="00000000">
      <w:pPr>
        <w:pStyle w:val="EndNoteBibliography"/>
        <w:spacing w:after="0"/>
        <w:ind w:left="720" w:hanging="720"/>
      </w:pPr>
      <w:r>
        <w:rPr>
          <w:lang w:val="de-DE"/>
        </w:rPr>
        <w:t>35</w:t>
      </w:r>
      <w:r>
        <w:rPr>
          <w:lang w:val="de-DE"/>
        </w:rPr>
        <w:tab/>
        <w:t>Pittelkow, C. M.</w:t>
      </w:r>
      <w:r>
        <w:rPr>
          <w:i/>
          <w:iCs/>
        </w:rPr>
        <w:t xml:space="preserve"> et al.</w:t>
      </w:r>
      <w:r>
        <w:t xml:space="preserve"> When does no-till yield more? A global meta-analysis. </w:t>
      </w:r>
      <w:r>
        <w:rPr>
          <w:i/>
          <w:iCs/>
        </w:rPr>
        <w:t>Field Crops Research</w:t>
      </w:r>
      <w:r>
        <w:t xml:space="preserve"> </w:t>
      </w:r>
      <w:r>
        <w:rPr>
          <w:b/>
          <w:bCs/>
        </w:rPr>
        <w:t>183</w:t>
      </w:r>
      <w:r>
        <w:t xml:space="preserve">, 156–168 (2015). </w:t>
      </w:r>
    </w:p>
    <w:p w14:paraId="47F6A449" w14:textId="77777777" w:rsidR="00BC2A6D" w:rsidRDefault="00000000">
      <w:pPr>
        <w:pStyle w:val="EndNoteBibliography"/>
        <w:spacing w:after="0"/>
        <w:ind w:left="720" w:hanging="720"/>
      </w:pPr>
      <w:r>
        <w:t>36</w:t>
      </w:r>
      <w:r>
        <w:tab/>
        <w:t>F</w:t>
      </w:r>
      <w:r w:rsidRPr="009800E7">
        <w:t>é</w:t>
      </w:r>
      <w:r>
        <w:t xml:space="preserve">lix, G. F., Scholberg, J. M., Clermont-Dauphin, C., Cournac, L. &amp; Tittonell, P. Enhancing agroecosystem productivity with woody perennials in semi-arid West Africa. A meta-analysis. </w:t>
      </w:r>
      <w:r>
        <w:rPr>
          <w:i/>
          <w:iCs/>
        </w:rPr>
        <w:t>Agronomy for Sustainable Development</w:t>
      </w:r>
      <w:r>
        <w:t xml:space="preserve"> </w:t>
      </w:r>
      <w:r>
        <w:rPr>
          <w:b/>
          <w:bCs/>
        </w:rPr>
        <w:t>38</w:t>
      </w:r>
      <w:r>
        <w:t xml:space="preserve">, 57 (2018). </w:t>
      </w:r>
    </w:p>
    <w:p w14:paraId="5C094FBF" w14:textId="77777777" w:rsidR="00BC2A6D" w:rsidRDefault="00000000">
      <w:pPr>
        <w:pStyle w:val="EndNoteBibliography"/>
        <w:spacing w:after="0"/>
        <w:ind w:left="720" w:hanging="720"/>
      </w:pPr>
      <w:r>
        <w:t>37</w:t>
      </w:r>
      <w:r>
        <w:tab/>
        <w:t xml:space="preserve">de la Cruz, V. Y. V., Cheng, W. &amp; Tawaraya, K. Yield gap between organic and conventional farming systems across climate types and sub-types: A meta-analysis. </w:t>
      </w:r>
      <w:r>
        <w:rPr>
          <w:i/>
          <w:iCs/>
        </w:rPr>
        <w:t>Agricultural Systems</w:t>
      </w:r>
      <w:r>
        <w:t xml:space="preserve"> </w:t>
      </w:r>
      <w:r>
        <w:rPr>
          <w:b/>
          <w:bCs/>
        </w:rPr>
        <w:t>211</w:t>
      </w:r>
      <w:r>
        <w:t xml:space="preserve">, 103732 (2023). </w:t>
      </w:r>
    </w:p>
    <w:p w14:paraId="6C453A4F" w14:textId="77777777" w:rsidR="00BC2A6D" w:rsidRDefault="00000000">
      <w:pPr>
        <w:pStyle w:val="EndNoteBibliography"/>
        <w:spacing w:after="0"/>
        <w:ind w:left="720" w:hanging="720"/>
      </w:pPr>
      <w:r>
        <w:t>38</w:t>
      </w:r>
      <w:r>
        <w:tab/>
        <w:t>Karger, D. N.</w:t>
      </w:r>
      <w:r>
        <w:rPr>
          <w:i/>
          <w:iCs/>
        </w:rPr>
        <w:t xml:space="preserve"> et al.</w:t>
      </w:r>
      <w:r>
        <w:t xml:space="preserve"> Climatologies at high resolution for the earth</w:t>
      </w:r>
      <w:r>
        <w:rPr>
          <w:rtl/>
        </w:rPr>
        <w:t>’</w:t>
      </w:r>
      <w:r>
        <w:t xml:space="preserve">s land surface areas. </w:t>
      </w:r>
      <w:r>
        <w:rPr>
          <w:i/>
          <w:iCs/>
        </w:rPr>
        <w:t>Scientific Data</w:t>
      </w:r>
      <w:r>
        <w:t xml:space="preserve"> </w:t>
      </w:r>
      <w:r>
        <w:rPr>
          <w:b/>
          <w:bCs/>
        </w:rPr>
        <w:t>4</w:t>
      </w:r>
      <w:r>
        <w:t xml:space="preserve">, 1–20 (2017). </w:t>
      </w:r>
    </w:p>
    <w:p w14:paraId="36DAE66E" w14:textId="77777777" w:rsidR="00BC2A6D" w:rsidRDefault="00000000">
      <w:pPr>
        <w:pStyle w:val="EndNoteBibliography"/>
        <w:spacing w:after="0"/>
        <w:ind w:left="720" w:hanging="720"/>
      </w:pPr>
      <w:r>
        <w:t>39</w:t>
      </w:r>
      <w:r>
        <w:tab/>
        <w:t>Funk, C.</w:t>
      </w:r>
      <w:r>
        <w:rPr>
          <w:i/>
          <w:iCs/>
        </w:rPr>
        <w:t xml:space="preserve"> et al.</w:t>
      </w:r>
      <w:r>
        <w:t xml:space="preserve"> The climate hazards infrared precipitation with stations—a new environmental record for monitoring extremes. </w:t>
      </w:r>
      <w:r>
        <w:rPr>
          <w:i/>
          <w:iCs/>
        </w:rPr>
        <w:t>Scientific data</w:t>
      </w:r>
      <w:r>
        <w:t xml:space="preserve"> </w:t>
      </w:r>
      <w:r>
        <w:rPr>
          <w:b/>
          <w:bCs/>
        </w:rPr>
        <w:t>2</w:t>
      </w:r>
      <w:r>
        <w:t xml:space="preserve">, 1–21 (2015). </w:t>
      </w:r>
    </w:p>
    <w:p w14:paraId="06C6DC03" w14:textId="77777777" w:rsidR="00BC2A6D" w:rsidRDefault="00000000">
      <w:pPr>
        <w:pStyle w:val="EndNoteBibliography"/>
        <w:spacing w:after="0"/>
        <w:ind w:left="720" w:hanging="720"/>
      </w:pPr>
      <w:r>
        <w:t>40</w:t>
      </w:r>
      <w:r>
        <w:tab/>
        <w:t>Ahvo, A.</w:t>
      </w:r>
      <w:r>
        <w:rPr>
          <w:i/>
          <w:iCs/>
        </w:rPr>
        <w:t xml:space="preserve"> et al.</w:t>
      </w:r>
      <w:r>
        <w:t xml:space="preserve"> Agricultural input shocks affect crop yields more in the high-yielding areas of the world. </w:t>
      </w:r>
      <w:r>
        <w:rPr>
          <w:i/>
          <w:iCs/>
        </w:rPr>
        <w:t>Nature Food</w:t>
      </w:r>
      <w:r>
        <w:t xml:space="preserve"> </w:t>
      </w:r>
      <w:r>
        <w:rPr>
          <w:b/>
          <w:bCs/>
        </w:rPr>
        <w:t>4</w:t>
      </w:r>
      <w:r>
        <w:t xml:space="preserve">, 1037–1046 (2023). </w:t>
      </w:r>
    </w:p>
    <w:p w14:paraId="15F30E99" w14:textId="77777777" w:rsidR="00BC2A6D" w:rsidRDefault="00000000">
      <w:pPr>
        <w:pStyle w:val="EndNoteBibliography"/>
        <w:spacing w:after="0"/>
        <w:ind w:left="720" w:hanging="720"/>
      </w:pPr>
      <w:r>
        <w:rPr>
          <w:lang w:val="it-IT"/>
        </w:rPr>
        <w:t>41</w:t>
      </w:r>
      <w:r>
        <w:rPr>
          <w:lang w:val="it-IT"/>
        </w:rPr>
        <w:tab/>
        <w:t>Poggio, L.</w:t>
      </w:r>
      <w:r>
        <w:rPr>
          <w:i/>
          <w:iCs/>
        </w:rPr>
        <w:t xml:space="preserve"> et al.</w:t>
      </w:r>
      <w:r>
        <w:t xml:space="preserve"> SoilGrids 2.0: producing soil information for the globe with quantified spatial uncertainty. </w:t>
      </w:r>
      <w:r>
        <w:rPr>
          <w:i/>
          <w:iCs/>
        </w:rPr>
        <w:t>Soil</w:t>
      </w:r>
      <w:r>
        <w:t xml:space="preserve"> </w:t>
      </w:r>
      <w:r>
        <w:rPr>
          <w:b/>
          <w:bCs/>
        </w:rPr>
        <w:t>7</w:t>
      </w:r>
      <w:r>
        <w:t xml:space="preserve">, 217–240 (2021). </w:t>
      </w:r>
    </w:p>
    <w:p w14:paraId="2883BD34" w14:textId="77777777" w:rsidR="00BC2A6D" w:rsidRDefault="00000000">
      <w:pPr>
        <w:pStyle w:val="EndNoteBibliography"/>
        <w:spacing w:after="0"/>
        <w:ind w:left="720" w:hanging="720"/>
      </w:pPr>
      <w:r>
        <w:rPr>
          <w:lang w:val="de-DE"/>
        </w:rPr>
        <w:t>42</w:t>
      </w:r>
      <w:r>
        <w:rPr>
          <w:lang w:val="de-DE"/>
        </w:rPr>
        <w:tab/>
        <w:t xml:space="preserve">Dash, P. K. in </w:t>
      </w:r>
      <w:r>
        <w:rPr>
          <w:i/>
          <w:iCs/>
        </w:rPr>
        <w:t>Remote Sensing of Soils</w:t>
      </w:r>
      <w:r>
        <w:rPr>
          <w:lang w:val="de-DE"/>
        </w:rPr>
        <w:t xml:space="preserve">     357</w:t>
      </w:r>
      <w:r>
        <w:t>–</w:t>
      </w:r>
      <w:r w:rsidRPr="009800E7">
        <w:t>370 (Elsevier, 2024).</w:t>
      </w:r>
    </w:p>
    <w:p w14:paraId="60FE4184" w14:textId="77777777" w:rsidR="00BC2A6D" w:rsidRDefault="00000000">
      <w:pPr>
        <w:pStyle w:val="EndNoteBibliography"/>
        <w:spacing w:after="0"/>
        <w:ind w:left="720" w:hanging="720"/>
      </w:pPr>
      <w:r>
        <w:t>43</w:t>
      </w:r>
      <w:r>
        <w:tab/>
        <w:t xml:space="preserve">Vance, T. C., Huang, T. &amp; Butler, K. A. Big data in Earth science: Emerging practice and promise. </w:t>
      </w:r>
      <w:r>
        <w:rPr>
          <w:i/>
          <w:iCs/>
        </w:rPr>
        <w:t>Science</w:t>
      </w:r>
      <w:r>
        <w:t xml:space="preserve"> </w:t>
      </w:r>
      <w:r>
        <w:rPr>
          <w:b/>
          <w:bCs/>
        </w:rPr>
        <w:t>383</w:t>
      </w:r>
      <w:r>
        <w:t xml:space="preserve">, eadh9607 (2024). </w:t>
      </w:r>
    </w:p>
    <w:p w14:paraId="152445B0" w14:textId="77777777" w:rsidR="00BC2A6D" w:rsidRDefault="00000000">
      <w:pPr>
        <w:pStyle w:val="EndNoteBibliography"/>
        <w:spacing w:after="0"/>
        <w:ind w:left="720" w:hanging="720"/>
      </w:pPr>
      <w:r>
        <w:t>44</w:t>
      </w:r>
      <w:r>
        <w:tab/>
        <w:t xml:space="preserve">Kganyago, M., Adjorlolo, C., Mhangara, P. &amp; Tsoeleng, L. Optical remote sensing of crop biophysical and biochemical parameters: An overview of advances in sensor technologies and machine learning algorithms for precision agriculture. </w:t>
      </w:r>
      <w:r>
        <w:rPr>
          <w:i/>
          <w:iCs/>
        </w:rPr>
        <w:t>Computers and Electronics in Agriculture</w:t>
      </w:r>
      <w:r>
        <w:t xml:space="preserve"> </w:t>
      </w:r>
      <w:r>
        <w:rPr>
          <w:b/>
          <w:bCs/>
        </w:rPr>
        <w:t>218</w:t>
      </w:r>
      <w:r>
        <w:t xml:space="preserve">, 108730 (2024). </w:t>
      </w:r>
    </w:p>
    <w:p w14:paraId="2B923786" w14:textId="77777777" w:rsidR="00BC2A6D" w:rsidRDefault="00000000">
      <w:pPr>
        <w:pStyle w:val="EndNoteBibliography"/>
        <w:spacing w:after="0"/>
        <w:ind w:left="720" w:hanging="720"/>
      </w:pPr>
      <w:r>
        <w:t>45</w:t>
      </w:r>
      <w:r>
        <w:tab/>
        <w:t xml:space="preserve">Jian, J., Du, X. &amp; Stewart, R. D. A database for global soil health assessment. </w:t>
      </w:r>
      <w:r>
        <w:rPr>
          <w:i/>
          <w:iCs/>
        </w:rPr>
        <w:t>Scientific Data</w:t>
      </w:r>
      <w:r>
        <w:t xml:space="preserve"> </w:t>
      </w:r>
      <w:r>
        <w:rPr>
          <w:b/>
          <w:bCs/>
        </w:rPr>
        <w:t>7</w:t>
      </w:r>
      <w:r>
        <w:t xml:space="preserve">, 16 (2020). </w:t>
      </w:r>
    </w:p>
    <w:p w14:paraId="2368C734" w14:textId="77777777" w:rsidR="00BC2A6D" w:rsidRDefault="00000000">
      <w:pPr>
        <w:pStyle w:val="EndNoteBibliography"/>
        <w:spacing w:after="0"/>
        <w:ind w:left="720" w:hanging="720"/>
      </w:pPr>
      <w:r>
        <w:t>46</w:t>
      </w:r>
      <w:r>
        <w:tab/>
        <w:t xml:space="preserve">Xia, L., Lam, S. K., Yan, X. &amp; Chen, D. How does recycling of livestock manure in agroecosystems affect crop productivity, reactive nitrogen losses, and soil carbon balance? </w:t>
      </w:r>
      <w:r>
        <w:rPr>
          <w:i/>
          <w:iCs/>
        </w:rPr>
        <w:t>Environmental Science &amp; Technology</w:t>
      </w:r>
      <w:r>
        <w:t xml:space="preserve"> </w:t>
      </w:r>
      <w:r>
        <w:rPr>
          <w:b/>
          <w:bCs/>
        </w:rPr>
        <w:t>51</w:t>
      </w:r>
      <w:r>
        <w:rPr>
          <w:lang w:val="ru-RU"/>
        </w:rPr>
        <w:t>, 7450</w:t>
      </w:r>
      <w:r>
        <w:t xml:space="preserve">–7457 (2017). </w:t>
      </w:r>
    </w:p>
    <w:p w14:paraId="05AEE039" w14:textId="77777777" w:rsidR="00BC2A6D" w:rsidRDefault="00000000">
      <w:pPr>
        <w:pStyle w:val="EndNoteBibliography"/>
        <w:spacing w:after="0"/>
        <w:ind w:left="720" w:hanging="720"/>
      </w:pPr>
      <w:r>
        <w:t>47</w:t>
      </w:r>
      <w:r>
        <w:tab/>
        <w:t>Verret, V.</w:t>
      </w:r>
      <w:r>
        <w:rPr>
          <w:i/>
          <w:iCs/>
        </w:rPr>
        <w:t xml:space="preserve"> et al.</w:t>
      </w:r>
      <w:r>
        <w:t xml:space="preserve"> Can legume companion plants control weeds without decreasing crop yield? A meta-analysis. </w:t>
      </w:r>
      <w:r>
        <w:rPr>
          <w:i/>
          <w:iCs/>
        </w:rPr>
        <w:t>Field Crops Research</w:t>
      </w:r>
      <w:r>
        <w:t xml:space="preserve"> </w:t>
      </w:r>
      <w:r>
        <w:rPr>
          <w:b/>
          <w:bCs/>
        </w:rPr>
        <w:t>204</w:t>
      </w:r>
      <w:r>
        <w:t xml:space="preserve">, 158–168 (2017). </w:t>
      </w:r>
    </w:p>
    <w:p w14:paraId="20DCA561" w14:textId="77777777" w:rsidR="00BC2A6D" w:rsidRDefault="00000000">
      <w:pPr>
        <w:pStyle w:val="EndNoteBibliography"/>
        <w:spacing w:after="0"/>
        <w:ind w:left="720" w:hanging="720"/>
      </w:pPr>
      <w:r>
        <w:rPr>
          <w:lang w:val="de-DE"/>
        </w:rPr>
        <w:t>48</w:t>
      </w:r>
      <w:r>
        <w:rPr>
          <w:lang w:val="de-DE"/>
        </w:rPr>
        <w:tab/>
        <w:t>Ding, W.</w:t>
      </w:r>
      <w:r>
        <w:rPr>
          <w:i/>
          <w:iCs/>
        </w:rPr>
        <w:t xml:space="preserve"> et al.</w:t>
      </w:r>
      <w:r>
        <w:t xml:space="preserve"> Improving yield and nitrogen use efficiency through alternative fertilization options for rice in China: A meta-analysis. </w:t>
      </w:r>
      <w:r>
        <w:rPr>
          <w:i/>
          <w:iCs/>
        </w:rPr>
        <w:t>Field Crops Research</w:t>
      </w:r>
      <w:r>
        <w:t xml:space="preserve"> </w:t>
      </w:r>
      <w:r>
        <w:rPr>
          <w:b/>
          <w:bCs/>
        </w:rPr>
        <w:t>227</w:t>
      </w:r>
      <w:r>
        <w:t xml:space="preserve">, 11–18 (2018). </w:t>
      </w:r>
    </w:p>
    <w:p w14:paraId="4BC13655" w14:textId="77777777" w:rsidR="00BC2A6D" w:rsidRDefault="00000000">
      <w:pPr>
        <w:pStyle w:val="EndNoteBibliography"/>
        <w:spacing w:after="0"/>
        <w:ind w:left="720" w:hanging="720"/>
      </w:pPr>
      <w:r>
        <w:t>49</w:t>
      </w:r>
      <w:r>
        <w:tab/>
        <w:t xml:space="preserve">Seufert, V., Ramankutty, N. &amp; Mayerhofer, T. What is this thing called organic?–How organic farming is codified in regulations. </w:t>
      </w:r>
      <w:r>
        <w:rPr>
          <w:i/>
          <w:iCs/>
        </w:rPr>
        <w:t>Food Policy</w:t>
      </w:r>
      <w:r>
        <w:t xml:space="preserve"> </w:t>
      </w:r>
      <w:r>
        <w:rPr>
          <w:b/>
          <w:bCs/>
        </w:rPr>
        <w:t>68</w:t>
      </w:r>
      <w:r>
        <w:t xml:space="preserve">, 10–20 (2017). </w:t>
      </w:r>
    </w:p>
    <w:p w14:paraId="4E4E2847" w14:textId="77777777" w:rsidR="00BC2A6D" w:rsidRDefault="00000000">
      <w:pPr>
        <w:pStyle w:val="EndNoteBibliography"/>
        <w:spacing w:after="0"/>
        <w:ind w:left="720" w:hanging="720"/>
      </w:pPr>
      <w:r>
        <w:t>50</w:t>
      </w:r>
      <w:r>
        <w:tab/>
        <w:t>Kuradusenge, M.</w:t>
      </w:r>
      <w:r>
        <w:rPr>
          <w:i/>
          <w:iCs/>
        </w:rPr>
        <w:t xml:space="preserve"> et al.</w:t>
      </w:r>
      <w:r>
        <w:t xml:space="preserve"> Crop yield prediction using machine learning models: Case of Irish potato and maize. </w:t>
      </w:r>
      <w:r>
        <w:rPr>
          <w:i/>
          <w:iCs/>
          <w:lang w:val="pt-PT"/>
        </w:rPr>
        <w:t>Agriculture</w:t>
      </w:r>
      <w:r>
        <w:t xml:space="preserve"> </w:t>
      </w:r>
      <w:r>
        <w:rPr>
          <w:b/>
          <w:bCs/>
        </w:rPr>
        <w:t>13</w:t>
      </w:r>
      <w:r>
        <w:t xml:space="preserve">, 225 (2023). </w:t>
      </w:r>
    </w:p>
    <w:p w14:paraId="276C1DFC" w14:textId="77777777" w:rsidR="00BC2A6D" w:rsidRDefault="00000000">
      <w:pPr>
        <w:pStyle w:val="EndNoteBibliography"/>
        <w:spacing w:after="0"/>
        <w:ind w:left="720" w:hanging="720"/>
      </w:pPr>
      <w:r>
        <w:t>51</w:t>
      </w:r>
      <w:r>
        <w:tab/>
        <w:t xml:space="preserve">Wang, Q., Huang, K., Liu, H. &amp; Yu, Y. Factors affecting crop production water footprint: A review and meta-analysis. </w:t>
      </w:r>
      <w:r>
        <w:rPr>
          <w:i/>
          <w:iCs/>
        </w:rPr>
        <w:t>Sustainable Production and Consumption</w:t>
      </w:r>
      <w:r>
        <w:t xml:space="preserve"> </w:t>
      </w:r>
      <w:r>
        <w:rPr>
          <w:b/>
          <w:bCs/>
        </w:rPr>
        <w:t>36</w:t>
      </w:r>
      <w:r>
        <w:t xml:space="preserve">, 207–216 (2023). </w:t>
      </w:r>
    </w:p>
    <w:p w14:paraId="79C71F7D" w14:textId="77777777" w:rsidR="00BC2A6D" w:rsidRDefault="00000000">
      <w:pPr>
        <w:pStyle w:val="EndNoteBibliography"/>
        <w:spacing w:after="0"/>
        <w:ind w:left="720" w:hanging="720"/>
      </w:pPr>
      <w:r>
        <w:lastRenderedPageBreak/>
        <w:t>52</w:t>
      </w:r>
      <w:r>
        <w:tab/>
        <w:t xml:space="preserve">Grigorieva, E., Livenets, A. &amp; Stelmakh, E. Adaptation of agriculture to climate change: A scoping review. </w:t>
      </w:r>
      <w:r>
        <w:rPr>
          <w:i/>
          <w:iCs/>
        </w:rPr>
        <w:t>Climate</w:t>
      </w:r>
      <w:r>
        <w:t xml:space="preserve"> </w:t>
      </w:r>
      <w:r>
        <w:rPr>
          <w:b/>
          <w:bCs/>
        </w:rPr>
        <w:t>11</w:t>
      </w:r>
      <w:r>
        <w:t xml:space="preserve">, 202 (2023). </w:t>
      </w:r>
    </w:p>
    <w:p w14:paraId="67100188" w14:textId="77777777" w:rsidR="00BC2A6D" w:rsidRDefault="00000000">
      <w:pPr>
        <w:pStyle w:val="EndNoteBibliography"/>
        <w:spacing w:after="0"/>
        <w:ind w:left="720" w:hanging="720"/>
      </w:pPr>
      <w:r>
        <w:t>53</w:t>
      </w:r>
      <w:r>
        <w:tab/>
        <w:t>Baker, N. T. &amp; Capel, P. D. Environmental factors that influence the location of crop agriculture in the conterminous United States. Report No. 2328-0328, (US Geological Survey, 2011).</w:t>
      </w:r>
    </w:p>
    <w:p w14:paraId="6C17B9D0" w14:textId="77777777" w:rsidR="00BC2A6D" w:rsidRDefault="00000000">
      <w:pPr>
        <w:pStyle w:val="EndNoteBibliography"/>
        <w:spacing w:after="0"/>
        <w:ind w:left="720" w:hanging="720"/>
      </w:pPr>
      <w:r>
        <w:t>54</w:t>
      </w:r>
      <w:r>
        <w:tab/>
        <w:t xml:space="preserve">Zomer, R. J., Xu, J. &amp; Trabucco, A. Version 3 of the global aridity index and potential evapotranspiration database. </w:t>
      </w:r>
      <w:r>
        <w:rPr>
          <w:i/>
          <w:iCs/>
        </w:rPr>
        <w:t>Scientific Data</w:t>
      </w:r>
      <w:r>
        <w:t xml:space="preserve"> </w:t>
      </w:r>
      <w:r>
        <w:rPr>
          <w:b/>
          <w:bCs/>
        </w:rPr>
        <w:t>9</w:t>
      </w:r>
      <w:r>
        <w:t xml:space="preserve">, 409 (2022). </w:t>
      </w:r>
    </w:p>
    <w:p w14:paraId="6540409E" w14:textId="77777777" w:rsidR="00BC2A6D" w:rsidRDefault="00000000">
      <w:pPr>
        <w:pStyle w:val="EndNoteBibliography"/>
        <w:spacing w:after="0"/>
        <w:ind w:left="720" w:hanging="720"/>
      </w:pPr>
      <w:r>
        <w:rPr>
          <w:lang w:val="de-DE"/>
        </w:rPr>
        <w:t>55</w:t>
      </w:r>
      <w:r>
        <w:rPr>
          <w:lang w:val="de-DE"/>
        </w:rPr>
        <w:tab/>
        <w:t>Leuthold, S. J., Wendroth, O., Salmer</w:t>
      </w:r>
      <w:r>
        <w:rPr>
          <w:lang w:val="es-ES_tradnl"/>
        </w:rPr>
        <w:t>ó</w:t>
      </w:r>
      <w:r>
        <w:t xml:space="preserve">n, M. &amp; Poffenbarger, H. Weather-dependent relationships between topographic variables and yield of maize and soybean. </w:t>
      </w:r>
      <w:r>
        <w:rPr>
          <w:i/>
          <w:iCs/>
        </w:rPr>
        <w:t>Field Crops Research</w:t>
      </w:r>
      <w:r>
        <w:t xml:space="preserve"> </w:t>
      </w:r>
      <w:r>
        <w:rPr>
          <w:b/>
          <w:bCs/>
        </w:rPr>
        <w:t>276</w:t>
      </w:r>
      <w:r>
        <w:t xml:space="preserve">, 108368 (2022). </w:t>
      </w:r>
    </w:p>
    <w:p w14:paraId="6CFBE881" w14:textId="77777777" w:rsidR="00BC2A6D" w:rsidRDefault="00000000">
      <w:pPr>
        <w:pStyle w:val="EndNoteBibliography"/>
        <w:spacing w:after="0"/>
        <w:ind w:left="720" w:hanging="720"/>
      </w:pPr>
      <w:r>
        <w:t>56</w:t>
      </w:r>
      <w:r>
        <w:tab/>
        <w:t xml:space="preserve">Kumhálová, J., Kumhála, F., Matějková, Š. &amp; Kroulík, M. The relationship between topography and yield in different weather conditions. </w:t>
      </w:r>
      <w:r>
        <w:rPr>
          <w:i/>
          <w:iCs/>
        </w:rPr>
        <w:t>Precision Agriculture</w:t>
      </w:r>
      <w:r>
        <w:t xml:space="preserve">, 606–616 (2011). </w:t>
      </w:r>
    </w:p>
    <w:p w14:paraId="1713876A" w14:textId="77777777" w:rsidR="00BC2A6D" w:rsidRDefault="00000000">
      <w:pPr>
        <w:pStyle w:val="EndNoteBibliography"/>
        <w:spacing w:after="0"/>
        <w:ind w:left="720" w:hanging="720"/>
      </w:pPr>
      <w:r>
        <w:t>57</w:t>
      </w:r>
      <w:r>
        <w:tab/>
        <w:t xml:space="preserve">Leuthold, S. J., Salmeron, M., Wendroth, O. &amp; Poffenbarger, H. Cover crops decrease maize yield variability in sloping landscapes through increased water during reproductive stages. </w:t>
      </w:r>
      <w:r>
        <w:rPr>
          <w:i/>
          <w:iCs/>
        </w:rPr>
        <w:t>Field Crops Research</w:t>
      </w:r>
      <w:r>
        <w:t xml:space="preserve"> </w:t>
      </w:r>
      <w:r>
        <w:rPr>
          <w:b/>
          <w:bCs/>
        </w:rPr>
        <w:t>265</w:t>
      </w:r>
      <w:r>
        <w:t xml:space="preserve">, 108111 (2021). </w:t>
      </w:r>
    </w:p>
    <w:p w14:paraId="633EAC5F" w14:textId="77777777" w:rsidR="00BC2A6D" w:rsidRDefault="00000000">
      <w:pPr>
        <w:pStyle w:val="EndNoteBibliography"/>
        <w:spacing w:after="0"/>
        <w:ind w:left="720" w:hanging="720"/>
      </w:pPr>
      <w:r>
        <w:t>58</w:t>
      </w:r>
      <w:r>
        <w:tab/>
        <w:t xml:space="preserve">Martinez-Feria, R. A. &amp; Basso, B. Unstable crop yields reveal opportunities for site-specific adaptations to climate variability. </w:t>
      </w:r>
      <w:r>
        <w:rPr>
          <w:i/>
          <w:iCs/>
        </w:rPr>
        <w:t>Scientific Reports</w:t>
      </w:r>
      <w:r>
        <w:t xml:space="preserve"> </w:t>
      </w:r>
      <w:r>
        <w:rPr>
          <w:b/>
          <w:bCs/>
        </w:rPr>
        <w:t>10</w:t>
      </w:r>
      <w:r>
        <w:t xml:space="preserve">, 2885 (2020). </w:t>
      </w:r>
    </w:p>
    <w:p w14:paraId="7667A18F" w14:textId="77777777" w:rsidR="00BC2A6D" w:rsidRDefault="00000000">
      <w:pPr>
        <w:pStyle w:val="EndNoteBibliography"/>
        <w:spacing w:after="0"/>
        <w:ind w:left="720" w:hanging="720"/>
      </w:pPr>
      <w:r>
        <w:t>59</w:t>
      </w:r>
      <w:r>
        <w:tab/>
        <w:t xml:space="preserve">Basso, B., Shuai, G., Zhang, J. &amp; Robertson, G. P. Yield stability analysis reveals sources of large-scale nitrogen loss from the US Midwest. </w:t>
      </w:r>
      <w:r>
        <w:rPr>
          <w:i/>
          <w:iCs/>
        </w:rPr>
        <w:t>Scientific Reports</w:t>
      </w:r>
      <w:r>
        <w:t xml:space="preserve"> </w:t>
      </w:r>
      <w:r>
        <w:rPr>
          <w:b/>
          <w:bCs/>
        </w:rPr>
        <w:t>9</w:t>
      </w:r>
      <w:r>
        <w:t xml:space="preserve">, 5774 (2019). </w:t>
      </w:r>
    </w:p>
    <w:p w14:paraId="00ADDE1E" w14:textId="77777777" w:rsidR="00BC2A6D" w:rsidRDefault="00000000">
      <w:pPr>
        <w:pStyle w:val="EndNoteBibliography"/>
        <w:spacing w:after="0"/>
        <w:ind w:left="720" w:hanging="720"/>
      </w:pPr>
      <w:r>
        <w:t>60</w:t>
      </w:r>
      <w:r>
        <w:tab/>
        <w:t>Amatulli, G.</w:t>
      </w:r>
      <w:r>
        <w:rPr>
          <w:i/>
          <w:iCs/>
        </w:rPr>
        <w:t xml:space="preserve"> et al.</w:t>
      </w:r>
      <w:r>
        <w:t xml:space="preserve"> A suite of global, cross-scale topographic variables for environmental and biodiversity modeling. </w:t>
      </w:r>
      <w:r>
        <w:rPr>
          <w:i/>
          <w:iCs/>
        </w:rPr>
        <w:t>Scientific data</w:t>
      </w:r>
      <w:r>
        <w:t xml:space="preserve"> </w:t>
      </w:r>
      <w:r>
        <w:rPr>
          <w:b/>
          <w:bCs/>
        </w:rPr>
        <w:t>5</w:t>
      </w:r>
      <w:r>
        <w:t xml:space="preserve">, 1–15 (2018). </w:t>
      </w:r>
    </w:p>
    <w:p w14:paraId="292EDF6B" w14:textId="77777777" w:rsidR="00BC2A6D" w:rsidRDefault="00000000">
      <w:pPr>
        <w:pStyle w:val="EndNoteBibliography"/>
        <w:spacing w:after="0"/>
        <w:ind w:left="720" w:hanging="720"/>
      </w:pPr>
      <w:r>
        <w:t>61</w:t>
      </w:r>
      <w:r>
        <w:tab/>
        <w:t xml:space="preserve">Iwahashi, J. &amp; Yamazaki, D. Global polygons for terrain classification divided into uniform slopes and basins. </w:t>
      </w:r>
      <w:r>
        <w:rPr>
          <w:i/>
          <w:iCs/>
        </w:rPr>
        <w:t>Progress in Earth and Planetary Science</w:t>
      </w:r>
      <w:r>
        <w:t xml:space="preserve"> </w:t>
      </w:r>
      <w:r>
        <w:rPr>
          <w:b/>
          <w:bCs/>
        </w:rPr>
        <w:t>9</w:t>
      </w:r>
      <w:r>
        <w:t xml:space="preserve">, 33 (2022). </w:t>
      </w:r>
    </w:p>
    <w:p w14:paraId="063DE065" w14:textId="77777777" w:rsidR="00BC2A6D" w:rsidRDefault="00000000">
      <w:pPr>
        <w:pStyle w:val="EndNoteBibliography"/>
        <w:spacing w:after="0"/>
        <w:ind w:left="720" w:hanging="720"/>
      </w:pPr>
      <w:r>
        <w:t>62</w:t>
      </w:r>
      <w:r>
        <w:tab/>
        <w:t xml:space="preserve">Sainju, U. M. &amp; Alasinrin, S. Y. Changes in soil chemical properties and crop yields with long‐term cropping system and nitrogen fertilization. </w:t>
      </w:r>
      <w:r>
        <w:rPr>
          <w:i/>
          <w:iCs/>
        </w:rPr>
        <w:t>Agrosystems, Geosciences &amp; Environment</w:t>
      </w:r>
      <w:r>
        <w:t xml:space="preserve"> </w:t>
      </w:r>
      <w:r>
        <w:rPr>
          <w:b/>
          <w:bCs/>
        </w:rPr>
        <w:t>3</w:t>
      </w:r>
      <w:r>
        <w:t xml:space="preserve">, e20019 (2020). </w:t>
      </w:r>
    </w:p>
    <w:p w14:paraId="0ED63D7A" w14:textId="77777777" w:rsidR="00BC2A6D" w:rsidRDefault="00000000">
      <w:pPr>
        <w:pStyle w:val="EndNoteBibliography"/>
        <w:spacing w:after="0"/>
        <w:ind w:left="720" w:hanging="720"/>
      </w:pPr>
      <w:r>
        <w:t>63</w:t>
      </w:r>
      <w:r>
        <w:tab/>
        <w:t xml:space="preserve">Sainju, U. M., Liptzin, D. &amp; Jabro, J. D. Relating soil physical properties to other soil properties and crop yields. </w:t>
      </w:r>
      <w:r>
        <w:rPr>
          <w:i/>
          <w:iCs/>
        </w:rPr>
        <w:t>Scientific Reports</w:t>
      </w:r>
      <w:r>
        <w:t xml:space="preserve"> </w:t>
      </w:r>
      <w:r>
        <w:rPr>
          <w:b/>
          <w:bCs/>
        </w:rPr>
        <w:t>12</w:t>
      </w:r>
      <w:r>
        <w:t xml:space="preserve">, 22025 (2022). </w:t>
      </w:r>
    </w:p>
    <w:p w14:paraId="4C0124AF" w14:textId="77777777" w:rsidR="00BC2A6D" w:rsidRDefault="00000000">
      <w:pPr>
        <w:pStyle w:val="EndNoteBibliography"/>
        <w:spacing w:after="0"/>
        <w:ind w:left="720" w:hanging="720"/>
      </w:pPr>
      <w:r>
        <w:t>64</w:t>
      </w:r>
      <w:r>
        <w:tab/>
        <w:t xml:space="preserve">Dewangan, S., Kumari, L., Minj, P., Kumari, J. &amp; Sahu, R. The effects of soil ph on soil health and environmental sustainability: A review. </w:t>
      </w:r>
      <w:r>
        <w:rPr>
          <w:i/>
          <w:iCs/>
        </w:rPr>
        <w:t>JETIR, Jun</w:t>
      </w:r>
      <w:r>
        <w:t xml:space="preserve"> (2023). </w:t>
      </w:r>
    </w:p>
    <w:p w14:paraId="62E927F9" w14:textId="77777777" w:rsidR="00BC2A6D" w:rsidRDefault="00000000">
      <w:pPr>
        <w:pStyle w:val="EndNoteBibliography"/>
        <w:spacing w:after="0"/>
        <w:ind w:left="720" w:hanging="720"/>
      </w:pPr>
      <w:r>
        <w:t>65</w:t>
      </w:r>
      <w:r>
        <w:tab/>
        <w:t>Zhang, S.</w:t>
      </w:r>
      <w:r>
        <w:rPr>
          <w:i/>
          <w:iCs/>
        </w:rPr>
        <w:t xml:space="preserve"> et al.</w:t>
      </w:r>
      <w:r>
        <w:t xml:space="preserve"> Effects of soil amendments on soil acidity and crop yields in acidic soils: A world-wide meta-analysis. </w:t>
      </w:r>
      <w:r>
        <w:rPr>
          <w:i/>
          <w:iCs/>
        </w:rPr>
        <w:t>Journal of Environmental Management</w:t>
      </w:r>
      <w:r>
        <w:t xml:space="preserve"> </w:t>
      </w:r>
      <w:r>
        <w:rPr>
          <w:b/>
          <w:bCs/>
          <w:lang w:val="ru-RU"/>
        </w:rPr>
        <w:t>345</w:t>
      </w:r>
      <w:r>
        <w:t xml:space="preserve">, 118531 (2023). </w:t>
      </w:r>
    </w:p>
    <w:p w14:paraId="25AF6E40" w14:textId="77777777" w:rsidR="00BC2A6D" w:rsidRDefault="00000000">
      <w:pPr>
        <w:pStyle w:val="EndNoteBibliography"/>
        <w:spacing w:after="0"/>
        <w:ind w:left="720" w:hanging="720"/>
      </w:pPr>
      <w:r>
        <w:t>66</w:t>
      </w:r>
      <w:r>
        <w:tab/>
        <w:t xml:space="preserve">McDowell, R., Noble, A., Pletnyakov, P. &amp; Haygarth, P. A Global Database of Soil Plant Available Phosphorus. </w:t>
      </w:r>
      <w:r>
        <w:rPr>
          <w:i/>
          <w:iCs/>
        </w:rPr>
        <w:t>Scientific Data</w:t>
      </w:r>
      <w:r>
        <w:t xml:space="preserve"> </w:t>
      </w:r>
      <w:r>
        <w:rPr>
          <w:b/>
          <w:bCs/>
        </w:rPr>
        <w:t>10</w:t>
      </w:r>
      <w:r>
        <w:t xml:space="preserve">, 125 (2023). </w:t>
      </w:r>
    </w:p>
    <w:p w14:paraId="56254B37" w14:textId="77777777" w:rsidR="00BC2A6D" w:rsidRDefault="00000000">
      <w:pPr>
        <w:pStyle w:val="EndNoteBibliography"/>
        <w:spacing w:after="0"/>
        <w:ind w:left="720" w:hanging="720"/>
      </w:pPr>
      <w:r>
        <w:t>67</w:t>
      </w:r>
      <w:r>
        <w:tab/>
        <w:t xml:space="preserve">Luo, Y., Hui, D. &amp; Zhang, D. Elevated CO2 stimulates net accumulations of carbon and nitrogen in land ecosystems: A meta‐analysis. </w:t>
      </w:r>
      <w:r>
        <w:rPr>
          <w:i/>
          <w:iCs/>
        </w:rPr>
        <w:t>Ecology</w:t>
      </w:r>
      <w:r>
        <w:t xml:space="preserve"> </w:t>
      </w:r>
      <w:r>
        <w:rPr>
          <w:b/>
          <w:bCs/>
        </w:rPr>
        <w:t>87</w:t>
      </w:r>
      <w:r>
        <w:t xml:space="preserve">, 53–63 (2006). </w:t>
      </w:r>
    </w:p>
    <w:p w14:paraId="6FC35F22" w14:textId="77777777" w:rsidR="00BC2A6D" w:rsidRDefault="00000000">
      <w:pPr>
        <w:pStyle w:val="EndNoteBibliography"/>
        <w:spacing w:after="0"/>
        <w:ind w:left="720" w:hanging="720"/>
      </w:pPr>
      <w:r>
        <w:t>68</w:t>
      </w:r>
      <w:r>
        <w:tab/>
        <w:t xml:space="preserve">Chen, G. &amp; Weil, R. R. Root growth and yield of maize as affected by soil compaction and cover crops. </w:t>
      </w:r>
      <w:r>
        <w:rPr>
          <w:i/>
          <w:iCs/>
        </w:rPr>
        <w:t>Soil and Tillage Research</w:t>
      </w:r>
      <w:r>
        <w:t xml:space="preserve"> </w:t>
      </w:r>
      <w:r>
        <w:rPr>
          <w:b/>
          <w:bCs/>
        </w:rPr>
        <w:t>117</w:t>
      </w:r>
      <w:r>
        <w:t xml:space="preserve">, 17–27 (2011). </w:t>
      </w:r>
    </w:p>
    <w:p w14:paraId="3525999B" w14:textId="77777777" w:rsidR="00BC2A6D" w:rsidRDefault="00000000">
      <w:pPr>
        <w:pStyle w:val="EndNoteBibliography"/>
        <w:spacing w:after="0"/>
        <w:ind w:left="720" w:hanging="720"/>
      </w:pPr>
      <w:r>
        <w:t>69</w:t>
      </w:r>
      <w:r>
        <w:tab/>
        <w:t xml:space="preserve">Sims, J. T. Soil test phosphorus: Olsen P. </w:t>
      </w:r>
      <w:r>
        <w:rPr>
          <w:i/>
          <w:iCs/>
        </w:rPr>
        <w:t>Methods of phosphorus analysis for soils, sediments, residuals, and waters</w:t>
      </w:r>
      <w:r>
        <w:t xml:space="preserve"> </w:t>
      </w:r>
      <w:r>
        <w:rPr>
          <w:b/>
          <w:bCs/>
        </w:rPr>
        <w:t>20</w:t>
      </w:r>
      <w:r>
        <w:t xml:space="preserve"> (2000). </w:t>
      </w:r>
    </w:p>
    <w:p w14:paraId="7E82ABB1" w14:textId="77777777" w:rsidR="00BC2A6D" w:rsidRDefault="00000000">
      <w:pPr>
        <w:pStyle w:val="EndNoteBibliography"/>
        <w:spacing w:after="0"/>
        <w:ind w:left="720" w:hanging="720"/>
      </w:pPr>
      <w:r>
        <w:t>70</w:t>
      </w:r>
      <w:r>
        <w:tab/>
        <w:t xml:space="preserve">Clara, L., Fatma, R., Viridiana, A. &amp; Liesl, W. Soil organic carbon: the hidden potential. </w:t>
      </w:r>
      <w:r>
        <w:rPr>
          <w:i/>
          <w:iCs/>
        </w:rPr>
        <w:t>Rome: Food and Agriculture Organization of the United Nations</w:t>
      </w:r>
      <w:r>
        <w:t xml:space="preserve"> (2017). </w:t>
      </w:r>
    </w:p>
    <w:p w14:paraId="7601A414" w14:textId="77777777" w:rsidR="00BC2A6D" w:rsidRDefault="00000000">
      <w:pPr>
        <w:pStyle w:val="EndNoteBibliography"/>
        <w:spacing w:after="0"/>
        <w:ind w:left="720" w:hanging="720"/>
      </w:pPr>
      <w:r>
        <w:t>71</w:t>
      </w:r>
      <w:r>
        <w:tab/>
        <w:t xml:space="preserve">Soil Survey Staff, S. A basic system of soil classification for making and interpreting soil surveys. </w:t>
      </w:r>
      <w:r>
        <w:rPr>
          <w:i/>
          <w:iCs/>
        </w:rPr>
        <w:t>Agric. Handb.</w:t>
      </w:r>
      <w:r>
        <w:t xml:space="preserve"> </w:t>
      </w:r>
      <w:r>
        <w:rPr>
          <w:b/>
          <w:bCs/>
        </w:rPr>
        <w:t>436</w:t>
      </w:r>
      <w:r>
        <w:t xml:space="preserve">, 96–105 (1999). </w:t>
      </w:r>
    </w:p>
    <w:p w14:paraId="380079FE" w14:textId="77777777" w:rsidR="00BC2A6D" w:rsidRDefault="00000000">
      <w:pPr>
        <w:pStyle w:val="EndNoteBibliography"/>
        <w:spacing w:after="0"/>
        <w:ind w:left="720" w:hanging="720"/>
      </w:pPr>
      <w:r>
        <w:rPr>
          <w:lang w:val="nl-NL"/>
        </w:rPr>
        <w:t>72</w:t>
      </w:r>
      <w:r>
        <w:rPr>
          <w:lang w:val="nl-NL"/>
        </w:rPr>
        <w:tab/>
        <w:t xml:space="preserve">Jahn, R., Blume, H.-P., Asio, V., Spaargaren, O. &amp; Schad, P. </w:t>
      </w:r>
      <w:r>
        <w:rPr>
          <w:i/>
          <w:iCs/>
        </w:rPr>
        <w:t>Guidelines for soil description</w:t>
      </w:r>
      <w:r>
        <w:t>.  (Fao, 2006).</w:t>
      </w:r>
    </w:p>
    <w:p w14:paraId="0554E051" w14:textId="77777777" w:rsidR="00BC2A6D" w:rsidRDefault="00000000">
      <w:pPr>
        <w:pStyle w:val="EndNoteBibliography"/>
        <w:spacing w:after="0"/>
        <w:ind w:left="720" w:hanging="720"/>
      </w:pPr>
      <w:r>
        <w:t>73</w:t>
      </w:r>
      <w:r>
        <w:tab/>
        <w:t xml:space="preserve">Croitoru, A.-E., Man, T. C., Vâtcă, S. D., Kobulniczky, B. &amp; Stoian, V. Refining the spatial scale for maize crop agro-climatological suitability conditions in a region with complex topography </w:t>
      </w:r>
      <w:r>
        <w:lastRenderedPageBreak/>
        <w:t xml:space="preserve">towards a smart and sustainable agriculture. Case study: Central Romania (Cluj County). </w:t>
      </w:r>
      <w:r>
        <w:rPr>
          <w:i/>
          <w:iCs/>
        </w:rPr>
        <w:t>Sustainability</w:t>
      </w:r>
      <w:r>
        <w:t xml:space="preserve"> </w:t>
      </w:r>
      <w:r>
        <w:rPr>
          <w:b/>
          <w:bCs/>
        </w:rPr>
        <w:t>12</w:t>
      </w:r>
      <w:r>
        <w:t xml:space="preserve">, 2783 (2020). </w:t>
      </w:r>
    </w:p>
    <w:p w14:paraId="242E2B24" w14:textId="77777777" w:rsidR="00BC2A6D" w:rsidRDefault="00000000">
      <w:pPr>
        <w:pStyle w:val="EndNoteBibliography"/>
        <w:spacing w:after="0"/>
        <w:ind w:left="720" w:hanging="720"/>
      </w:pPr>
      <w:r>
        <w:t>74</w:t>
      </w:r>
      <w:r>
        <w:tab/>
        <w:t xml:space="preserve">Parthasarathi, T., Velu, G. &amp; Jeyakumar, P. Impact of crop heat units on growth and developmental physiology of future crop production: A review. </w:t>
      </w:r>
      <w:r>
        <w:rPr>
          <w:i/>
          <w:iCs/>
        </w:rPr>
        <w:t>Research &amp; Reviews: A Journal of Crop Science and Technology</w:t>
      </w:r>
      <w:r>
        <w:t xml:space="preserve"> </w:t>
      </w:r>
      <w:r>
        <w:rPr>
          <w:b/>
          <w:bCs/>
        </w:rPr>
        <w:t>2</w:t>
      </w:r>
      <w:r>
        <w:t xml:space="preserve">, 1–11 (2013). </w:t>
      </w:r>
    </w:p>
    <w:p w14:paraId="1A39C1E6" w14:textId="77777777" w:rsidR="00BC2A6D" w:rsidRDefault="00000000">
      <w:pPr>
        <w:pStyle w:val="EndNoteBibliography"/>
        <w:spacing w:after="0"/>
        <w:ind w:left="720" w:hanging="720"/>
      </w:pPr>
      <w:r>
        <w:rPr>
          <w:lang w:val="it-IT"/>
        </w:rPr>
        <w:t>75</w:t>
      </w:r>
      <w:r>
        <w:rPr>
          <w:lang w:val="it-IT"/>
        </w:rPr>
        <w:tab/>
        <w:t>Joshi, D. R.</w:t>
      </w:r>
      <w:r>
        <w:rPr>
          <w:i/>
          <w:iCs/>
        </w:rPr>
        <w:t xml:space="preserve"> et al.</w:t>
      </w:r>
      <w:r>
        <w:rPr>
          <w:lang w:val="it-IT"/>
        </w:rPr>
        <w:t xml:space="preserve"> A global meta</w:t>
      </w:r>
      <w:r>
        <w:t xml:space="preserve">‐analysis of cover crop response on soil carbon storage within a corn production system. </w:t>
      </w:r>
      <w:r>
        <w:rPr>
          <w:i/>
          <w:iCs/>
        </w:rPr>
        <w:t>Agronomy journal</w:t>
      </w:r>
      <w:r>
        <w:t xml:space="preserve"> </w:t>
      </w:r>
      <w:r>
        <w:rPr>
          <w:b/>
          <w:bCs/>
        </w:rPr>
        <w:t>115</w:t>
      </w:r>
      <w:r>
        <w:t xml:space="preserve">, 1543–1556 (2023). </w:t>
      </w:r>
    </w:p>
    <w:p w14:paraId="34D04269" w14:textId="77777777" w:rsidR="00BC2A6D" w:rsidRDefault="00000000">
      <w:pPr>
        <w:pStyle w:val="EndNoteBibliography"/>
        <w:spacing w:after="0"/>
        <w:ind w:left="720" w:hanging="720"/>
      </w:pPr>
      <w:r>
        <w:t>76</w:t>
      </w:r>
      <w:r>
        <w:tab/>
        <w:t xml:space="preserve">Egger, M., Smith, G. D., Schneider, M. &amp; Minder, C. Bias in meta-analysis detected by a simple, graphical test. </w:t>
      </w:r>
      <w:r>
        <w:rPr>
          <w:i/>
          <w:iCs/>
        </w:rPr>
        <w:t>bmj</w:t>
      </w:r>
      <w:r>
        <w:t xml:space="preserve"> </w:t>
      </w:r>
      <w:r>
        <w:rPr>
          <w:b/>
          <w:bCs/>
        </w:rPr>
        <w:t>315</w:t>
      </w:r>
      <w:r>
        <w:t xml:space="preserve">, 629–634 (1997). </w:t>
      </w:r>
    </w:p>
    <w:p w14:paraId="34909647" w14:textId="77777777" w:rsidR="00BC2A6D" w:rsidRDefault="00000000">
      <w:pPr>
        <w:pStyle w:val="EndNoteBibliography"/>
        <w:spacing w:after="0"/>
        <w:ind w:left="720" w:hanging="720"/>
      </w:pPr>
      <w:r>
        <w:t>77</w:t>
      </w:r>
      <w:r>
        <w:tab/>
        <w:t xml:space="preserve">Chandler, J., Cumpston, M., Li, T., Page, M. J. &amp; Welch, V. Cochrane handbook for systematic reviews of interventions. </w:t>
      </w:r>
      <w:r>
        <w:rPr>
          <w:i/>
          <w:iCs/>
          <w:lang w:val="de-DE"/>
        </w:rPr>
        <w:t>Hoboken: Wiley</w:t>
      </w:r>
      <w:r>
        <w:t xml:space="preserve"> </w:t>
      </w:r>
      <w:r>
        <w:rPr>
          <w:b/>
          <w:bCs/>
        </w:rPr>
        <w:t>4</w:t>
      </w:r>
      <w:r>
        <w:t xml:space="preserve">, 14651858 (2019). </w:t>
      </w:r>
    </w:p>
    <w:p w14:paraId="29E1FD5B" w14:textId="77777777" w:rsidR="00BC2A6D" w:rsidRDefault="00000000">
      <w:pPr>
        <w:pStyle w:val="EndNoteBibliography"/>
        <w:spacing w:after="0"/>
        <w:ind w:left="720" w:hanging="720"/>
      </w:pPr>
      <w:r>
        <w:t>78</w:t>
      </w:r>
      <w:r>
        <w:tab/>
        <w:t xml:space="preserve">Basche, A. &amp; DeLonge, M. The impact of continuous living cover on soil hydrologic properties: A meta‐analysis. </w:t>
      </w:r>
      <w:r>
        <w:rPr>
          <w:i/>
          <w:iCs/>
        </w:rPr>
        <w:t>Soil Science Society of America Journal</w:t>
      </w:r>
      <w:r>
        <w:t xml:space="preserve"> </w:t>
      </w:r>
      <w:r>
        <w:rPr>
          <w:b/>
          <w:bCs/>
        </w:rPr>
        <w:t>81</w:t>
      </w:r>
      <w:r>
        <w:t xml:space="preserve">, 1179–1190 (2017). </w:t>
      </w:r>
    </w:p>
    <w:p w14:paraId="5DC1648C" w14:textId="77777777" w:rsidR="00BC2A6D" w:rsidRDefault="00000000">
      <w:pPr>
        <w:pStyle w:val="EndNoteBibliography"/>
        <w:spacing w:after="0"/>
        <w:ind w:left="720" w:hanging="720"/>
      </w:pPr>
      <w:r>
        <w:t>79</w:t>
      </w:r>
      <w:r>
        <w:tab/>
        <w:t xml:space="preserve">Philibert, A., Loyce, C. &amp; Makowski, D. Assessment of the quality of meta-analysis in agronomy. </w:t>
      </w:r>
      <w:r>
        <w:rPr>
          <w:i/>
          <w:iCs/>
        </w:rPr>
        <w:t>Agriculture, Ecosystems &amp; Environment</w:t>
      </w:r>
      <w:r>
        <w:t xml:space="preserve"> </w:t>
      </w:r>
      <w:r>
        <w:rPr>
          <w:b/>
          <w:bCs/>
        </w:rPr>
        <w:t>148</w:t>
      </w:r>
      <w:r>
        <w:t xml:space="preserve">, 72–82 (2012). </w:t>
      </w:r>
    </w:p>
    <w:p w14:paraId="5F3B3C8E" w14:textId="77777777" w:rsidR="00BC2A6D" w:rsidRDefault="00000000">
      <w:pPr>
        <w:pStyle w:val="EndNoteBibliography"/>
        <w:spacing w:after="0"/>
        <w:ind w:left="720" w:hanging="720"/>
      </w:pPr>
      <w:r>
        <w:t>80</w:t>
      </w:r>
      <w:r>
        <w:tab/>
        <w:t xml:space="preserve">Tully, K. &amp; Ryals, R. Nutrient cycling in agroecosystems: Balancing food and environmental objectives. </w:t>
      </w:r>
      <w:r>
        <w:rPr>
          <w:i/>
          <w:iCs/>
        </w:rPr>
        <w:t>Agroecology and Sustainable Food Systems</w:t>
      </w:r>
      <w:r>
        <w:t xml:space="preserve"> </w:t>
      </w:r>
      <w:r>
        <w:rPr>
          <w:b/>
          <w:bCs/>
        </w:rPr>
        <w:t>41</w:t>
      </w:r>
      <w:r>
        <w:t xml:space="preserve">, 761–798 (2017). </w:t>
      </w:r>
    </w:p>
    <w:p w14:paraId="7E8EEA6D" w14:textId="77777777" w:rsidR="00BC2A6D" w:rsidRDefault="00000000">
      <w:pPr>
        <w:pStyle w:val="EndNoteBibliography"/>
        <w:spacing w:after="0"/>
        <w:ind w:left="720" w:hanging="720"/>
      </w:pPr>
      <w:r w:rsidRPr="009800E7">
        <w:t>81</w:t>
      </w:r>
      <w:r w:rsidRPr="009800E7">
        <w:tab/>
        <w:t>Abdalla, M.</w:t>
      </w:r>
      <w:r>
        <w:rPr>
          <w:i/>
          <w:iCs/>
        </w:rPr>
        <w:t xml:space="preserve"> et al.</w:t>
      </w:r>
      <w:r>
        <w:t xml:space="preserve"> A critical review of the impacts of cover crops on nitrogen leaching, net greenhouse gas balance and crop productivity. </w:t>
      </w:r>
      <w:r>
        <w:rPr>
          <w:i/>
          <w:iCs/>
        </w:rPr>
        <w:t>Global change biology</w:t>
      </w:r>
      <w:r>
        <w:t xml:space="preserve"> </w:t>
      </w:r>
      <w:r>
        <w:rPr>
          <w:b/>
          <w:bCs/>
        </w:rPr>
        <w:t>25</w:t>
      </w:r>
      <w:r>
        <w:t xml:space="preserve">, 2530–2543 (2019). </w:t>
      </w:r>
    </w:p>
    <w:p w14:paraId="4BC44571" w14:textId="77777777" w:rsidR="00BC2A6D" w:rsidRDefault="00000000">
      <w:pPr>
        <w:pStyle w:val="EndNoteBibliography"/>
        <w:spacing w:after="0"/>
        <w:ind w:left="720" w:hanging="720"/>
      </w:pPr>
      <w:r>
        <w:t>82</w:t>
      </w:r>
      <w:r>
        <w:tab/>
        <w:t xml:space="preserve">Mwangi, O., Mucheru-Muna, M., Kinyua, M., Bolo, P. &amp; Kihara, J. Organic farming practices increase weed density and diversity over conventional practices: A meta-analysis. </w:t>
      </w:r>
      <w:r>
        <w:rPr>
          <w:i/>
          <w:iCs/>
        </w:rPr>
        <w:t>Heliyon</w:t>
      </w:r>
      <w:r>
        <w:t xml:space="preserve"> </w:t>
      </w:r>
      <w:r>
        <w:rPr>
          <w:b/>
          <w:bCs/>
        </w:rPr>
        <w:t>10</w:t>
      </w:r>
      <w:r>
        <w:t xml:space="preserve"> (2024). </w:t>
      </w:r>
    </w:p>
    <w:p w14:paraId="43A8E4FB" w14:textId="77777777" w:rsidR="00BC2A6D" w:rsidRDefault="00000000">
      <w:pPr>
        <w:pStyle w:val="EndNoteBibliography"/>
        <w:spacing w:after="0"/>
        <w:ind w:left="720" w:hanging="720"/>
      </w:pPr>
      <w:r>
        <w:rPr>
          <w:lang w:val="it-IT"/>
        </w:rPr>
        <w:t>83</w:t>
      </w:r>
      <w:r>
        <w:rPr>
          <w:lang w:val="it-IT"/>
        </w:rPr>
        <w:tab/>
        <w:t>Ponisio, L. C.</w:t>
      </w:r>
      <w:r>
        <w:rPr>
          <w:i/>
          <w:iCs/>
        </w:rPr>
        <w:t xml:space="preserve"> et al.</w:t>
      </w:r>
      <w:r>
        <w:t xml:space="preserve"> Diversification practices reduce organic to conventional yield gap. </w:t>
      </w:r>
      <w:r>
        <w:rPr>
          <w:i/>
          <w:iCs/>
        </w:rPr>
        <w:t>Proceedings of the Royal Society B: Biological Sciences</w:t>
      </w:r>
      <w:r>
        <w:t xml:space="preserve"> </w:t>
      </w:r>
      <w:r>
        <w:rPr>
          <w:b/>
          <w:bCs/>
        </w:rPr>
        <w:t>282</w:t>
      </w:r>
      <w:r>
        <w:t xml:space="preserve">, 20141396 (2015). </w:t>
      </w:r>
    </w:p>
    <w:p w14:paraId="41653E5C" w14:textId="77777777" w:rsidR="00BC2A6D" w:rsidRDefault="00000000">
      <w:pPr>
        <w:pStyle w:val="EndNoteBibliography"/>
        <w:spacing w:after="0"/>
        <w:ind w:left="720" w:hanging="720"/>
      </w:pPr>
      <w:r>
        <w:t>84</w:t>
      </w:r>
      <w:r>
        <w:tab/>
        <w:t xml:space="preserve">Teasdale, J. R. &amp; Mohler, C. L. The quantitative relationship between weed emergence and the physical properties of mulches. </w:t>
      </w:r>
      <w:r>
        <w:rPr>
          <w:i/>
          <w:iCs/>
        </w:rPr>
        <w:t>Weed Science</w:t>
      </w:r>
      <w:r>
        <w:t xml:space="preserve"> </w:t>
      </w:r>
      <w:r>
        <w:rPr>
          <w:b/>
          <w:bCs/>
        </w:rPr>
        <w:t>48</w:t>
      </w:r>
      <w:r>
        <w:t xml:space="preserve">, 385–392 (2000). </w:t>
      </w:r>
    </w:p>
    <w:p w14:paraId="64162CB5" w14:textId="77777777" w:rsidR="00BC2A6D" w:rsidRDefault="00000000">
      <w:pPr>
        <w:pStyle w:val="EndNoteBibliography"/>
        <w:spacing w:after="0"/>
        <w:ind w:left="720" w:hanging="720"/>
      </w:pPr>
      <w:r>
        <w:t>85</w:t>
      </w:r>
      <w:r>
        <w:tab/>
        <w:t>Kuyah, S.</w:t>
      </w:r>
      <w:r>
        <w:rPr>
          <w:i/>
          <w:iCs/>
        </w:rPr>
        <w:t xml:space="preserve"> et al.</w:t>
      </w:r>
      <w:r>
        <w:t xml:space="preserve"> Agroforestry delivers a win-win solution for ecosystem services in sub-Saharan Africa. A meta-analysis. </w:t>
      </w:r>
      <w:r>
        <w:rPr>
          <w:i/>
          <w:iCs/>
        </w:rPr>
        <w:t>Agronomy for Sustainable Development</w:t>
      </w:r>
      <w:r>
        <w:t xml:space="preserve"> </w:t>
      </w:r>
      <w:r>
        <w:rPr>
          <w:b/>
          <w:bCs/>
        </w:rPr>
        <w:t>39</w:t>
      </w:r>
      <w:r>
        <w:t xml:space="preserve">, 1–18 (2019). </w:t>
      </w:r>
    </w:p>
    <w:p w14:paraId="41BDFB10" w14:textId="77777777" w:rsidR="00BC2A6D" w:rsidRDefault="00000000">
      <w:pPr>
        <w:pStyle w:val="EndNoteBibliography"/>
        <w:spacing w:after="0"/>
        <w:ind w:left="720" w:hanging="720"/>
      </w:pPr>
      <w:r>
        <w:t>86</w:t>
      </w:r>
      <w:r>
        <w:tab/>
        <w:t>IPCC. Climate Change 2021: The Physical Science Basis. Contribution of Working Group I to the Sixth Assessment Report of the Intergovernmental Panel on Climate Change. (Cambridge University Press, Cambridge, United Kingdom and New York, NY, USA, In press,, 2021).</w:t>
      </w:r>
    </w:p>
    <w:p w14:paraId="30557073" w14:textId="77777777" w:rsidR="00BC2A6D" w:rsidRDefault="00000000">
      <w:pPr>
        <w:pStyle w:val="EndNoteBibliography"/>
        <w:spacing w:after="0"/>
        <w:ind w:left="720" w:hanging="720"/>
      </w:pPr>
      <w:r>
        <w:rPr>
          <w:lang w:val="it-IT"/>
        </w:rPr>
        <w:t>87</w:t>
      </w:r>
      <w:r>
        <w:rPr>
          <w:lang w:val="it-IT"/>
        </w:rPr>
        <w:tab/>
        <w:t>Allam, M.</w:t>
      </w:r>
      <w:r>
        <w:rPr>
          <w:i/>
          <w:iCs/>
        </w:rPr>
        <w:t xml:space="preserve"> et al.</w:t>
      </w:r>
      <w:r>
        <w:t xml:space="preserve"> A meta-analysis approach to estimate the effect of cover crops on the grain yield of succeeding cereal crops within European cropping systems. </w:t>
      </w:r>
      <w:r>
        <w:rPr>
          <w:i/>
          <w:iCs/>
          <w:lang w:val="pt-PT"/>
        </w:rPr>
        <w:t>Agriculture</w:t>
      </w:r>
      <w:r>
        <w:t xml:space="preserve"> </w:t>
      </w:r>
      <w:r>
        <w:rPr>
          <w:b/>
          <w:bCs/>
        </w:rPr>
        <w:t>13</w:t>
      </w:r>
      <w:r>
        <w:t xml:space="preserve">, 1714 (2023). </w:t>
      </w:r>
    </w:p>
    <w:p w14:paraId="58C7CB3C" w14:textId="77777777" w:rsidR="00BC2A6D" w:rsidRDefault="00000000">
      <w:pPr>
        <w:pStyle w:val="EndNoteBibliography"/>
        <w:spacing w:after="0"/>
        <w:ind w:left="720" w:hanging="720"/>
      </w:pPr>
      <w:r>
        <w:rPr>
          <w:lang w:val="es-ES_tradnl"/>
        </w:rPr>
        <w:t>88</w:t>
      </w:r>
      <w:r>
        <w:rPr>
          <w:lang w:val="es-ES_tradnl"/>
        </w:rPr>
        <w:tab/>
        <w:t>Blanco</w:t>
      </w:r>
      <w:r>
        <w:t xml:space="preserve">‐Canqui, H. &amp; Ruis, S. J. Cover crop impacts on soil physical properties: A review. </w:t>
      </w:r>
      <w:r>
        <w:rPr>
          <w:i/>
          <w:iCs/>
        </w:rPr>
        <w:t>Soil Science Society of America Journal</w:t>
      </w:r>
      <w:r>
        <w:t xml:space="preserve"> </w:t>
      </w:r>
      <w:r>
        <w:rPr>
          <w:b/>
          <w:bCs/>
        </w:rPr>
        <w:t>84</w:t>
      </w:r>
      <w:r>
        <w:t xml:space="preserve">, 1527–1576 (2020). </w:t>
      </w:r>
    </w:p>
    <w:p w14:paraId="03CCA660" w14:textId="77777777" w:rsidR="00BC2A6D" w:rsidRDefault="00000000">
      <w:pPr>
        <w:pStyle w:val="EndNoteBibliography"/>
        <w:spacing w:after="0"/>
        <w:ind w:left="720" w:hanging="720"/>
      </w:pPr>
      <w:r>
        <w:t>89</w:t>
      </w:r>
      <w:r>
        <w:tab/>
        <w:t xml:space="preserve">Krishnamurthy, L., Krishnamurthy, P. K., Rajagopal, I. &amp; Peralta Solares, A. Can agroforestry systems thrive in the drylands? Characteristics of successful agroforestry systems in the arid and semi-arid regions of Latin America. </w:t>
      </w:r>
      <w:r>
        <w:rPr>
          <w:i/>
          <w:iCs/>
        </w:rPr>
        <w:t>Agroforestry Systems</w:t>
      </w:r>
      <w:r>
        <w:t xml:space="preserve"> </w:t>
      </w:r>
      <w:r>
        <w:rPr>
          <w:b/>
          <w:bCs/>
        </w:rPr>
        <w:t>93</w:t>
      </w:r>
      <w:r>
        <w:t xml:space="preserve">, 503–513 (2019). </w:t>
      </w:r>
    </w:p>
    <w:p w14:paraId="5D1761BA" w14:textId="77777777" w:rsidR="00BC2A6D" w:rsidRDefault="00000000">
      <w:pPr>
        <w:pStyle w:val="EndNoteBibliography"/>
        <w:spacing w:after="0"/>
        <w:ind w:left="720" w:hanging="720"/>
      </w:pPr>
      <w:r>
        <w:t>90</w:t>
      </w:r>
      <w:r>
        <w:tab/>
        <w:t xml:space="preserve">Khan, M. T., Aleinikovienė, J. &amp; Butkevičienė, L.-M. Innovative organic fertilizers and cover crops: Perspectives for sustainable agriculture in the Era of climate change and organic agriculture. </w:t>
      </w:r>
      <w:r>
        <w:rPr>
          <w:i/>
          <w:iCs/>
          <w:lang w:val="it-IT"/>
        </w:rPr>
        <w:t>Agronomy</w:t>
      </w:r>
      <w:r>
        <w:t xml:space="preserve"> </w:t>
      </w:r>
      <w:r>
        <w:rPr>
          <w:b/>
          <w:bCs/>
        </w:rPr>
        <w:t>14</w:t>
      </w:r>
      <w:r>
        <w:t xml:space="preserve">, 2871 (2024). </w:t>
      </w:r>
    </w:p>
    <w:p w14:paraId="650D06E4" w14:textId="77777777" w:rsidR="00BC2A6D" w:rsidRDefault="00000000">
      <w:pPr>
        <w:pStyle w:val="EndNoteBibliography"/>
        <w:spacing w:after="0"/>
        <w:ind w:left="720" w:hanging="720"/>
      </w:pPr>
      <w:r>
        <w:t>91</w:t>
      </w:r>
      <w:r>
        <w:tab/>
        <w:t>Phillips, I.</w:t>
      </w:r>
      <w:r>
        <w:rPr>
          <w:i/>
          <w:iCs/>
        </w:rPr>
        <w:t xml:space="preserve"> et al.</w:t>
      </w:r>
      <w:r>
        <w:t xml:space="preserve"> Combination of inorganic nitrogen and organic soil amendment improves nitrogen use efficiency while reducing nitrogen runoff. </w:t>
      </w:r>
      <w:r>
        <w:rPr>
          <w:i/>
          <w:iCs/>
        </w:rPr>
        <w:t>Nitrogen</w:t>
      </w:r>
      <w:r>
        <w:t xml:space="preserve"> </w:t>
      </w:r>
      <w:r>
        <w:rPr>
          <w:b/>
          <w:bCs/>
        </w:rPr>
        <w:t>3</w:t>
      </w:r>
      <w:r>
        <w:t xml:space="preserve">, 4 (2022). </w:t>
      </w:r>
    </w:p>
    <w:p w14:paraId="3FCE4F5D" w14:textId="77777777" w:rsidR="00BC2A6D" w:rsidRDefault="00000000">
      <w:pPr>
        <w:pStyle w:val="EndNoteBibliography"/>
        <w:spacing w:after="0"/>
        <w:ind w:left="720" w:hanging="720"/>
      </w:pPr>
      <w:r>
        <w:t>92</w:t>
      </w:r>
      <w:r>
        <w:tab/>
        <w:t xml:space="preserve">Lori, M., Symnaczik, S., Mäder, P., De Deyn, G. &amp; Gattinger, A. Organic farming enhances soil microbial abundance and activity—A meta-analysis and meta-regression. </w:t>
      </w:r>
      <w:r>
        <w:rPr>
          <w:i/>
          <w:iCs/>
        </w:rPr>
        <w:t>PloS one</w:t>
      </w:r>
      <w:r>
        <w:t xml:space="preserve"> </w:t>
      </w:r>
      <w:r>
        <w:rPr>
          <w:b/>
          <w:bCs/>
        </w:rPr>
        <w:t>12</w:t>
      </w:r>
      <w:r>
        <w:t xml:space="preserve">, e0180442 (2017). </w:t>
      </w:r>
    </w:p>
    <w:p w14:paraId="68C78A42" w14:textId="77777777" w:rsidR="00BC2A6D" w:rsidRDefault="00000000">
      <w:pPr>
        <w:pStyle w:val="EndNoteBibliography"/>
        <w:spacing w:after="0"/>
        <w:ind w:left="720" w:hanging="720"/>
      </w:pPr>
      <w:r>
        <w:lastRenderedPageBreak/>
        <w:t>93</w:t>
      </w:r>
      <w:r>
        <w:tab/>
        <w:t>Sun, J.</w:t>
      </w:r>
      <w:r>
        <w:rPr>
          <w:i/>
          <w:iCs/>
        </w:rPr>
        <w:t xml:space="preserve"> et al.</w:t>
      </w:r>
      <w:r>
        <w:t xml:space="preserve"> Regionally adapted conservation tillage reduces the risk of crop yield losses: A global meta-analysis. </w:t>
      </w:r>
      <w:r>
        <w:rPr>
          <w:i/>
          <w:iCs/>
        </w:rPr>
        <w:t>Soil and Tillage Research</w:t>
      </w:r>
      <w:r>
        <w:t xml:space="preserve"> </w:t>
      </w:r>
      <w:r>
        <w:rPr>
          <w:b/>
          <w:bCs/>
        </w:rPr>
        <w:t>244</w:t>
      </w:r>
      <w:r>
        <w:t xml:space="preserve">, 106265 (2024). </w:t>
      </w:r>
    </w:p>
    <w:p w14:paraId="4A100042" w14:textId="77777777" w:rsidR="00BC2A6D" w:rsidRDefault="00000000">
      <w:pPr>
        <w:pStyle w:val="EndNoteBibliography"/>
        <w:spacing w:after="0"/>
        <w:ind w:left="720" w:hanging="720"/>
      </w:pPr>
      <w:r>
        <w:t>94</w:t>
      </w:r>
      <w:r>
        <w:tab/>
        <w:t>Vendig, I.</w:t>
      </w:r>
      <w:r>
        <w:rPr>
          <w:i/>
          <w:iCs/>
        </w:rPr>
        <w:t xml:space="preserve"> et al.</w:t>
      </w:r>
      <w:r>
        <w:t xml:space="preserve"> Quantifying direct yield benefits of soil carbon increases from cover cropping. </w:t>
      </w:r>
      <w:r>
        <w:rPr>
          <w:i/>
          <w:iCs/>
        </w:rPr>
        <w:t>Nature Sustainability</w:t>
      </w:r>
      <w:r>
        <w:t xml:space="preserve"> </w:t>
      </w:r>
      <w:r>
        <w:rPr>
          <w:b/>
          <w:bCs/>
        </w:rPr>
        <w:t>6</w:t>
      </w:r>
      <w:r>
        <w:t xml:space="preserve">, 1125–1134 (2023). </w:t>
      </w:r>
    </w:p>
    <w:p w14:paraId="62E6CE99" w14:textId="77777777" w:rsidR="00BC2A6D" w:rsidRDefault="00000000">
      <w:pPr>
        <w:pStyle w:val="EndNoteBibliography"/>
        <w:spacing w:after="0"/>
        <w:ind w:left="720" w:hanging="720"/>
      </w:pPr>
      <w:r>
        <w:t>95</w:t>
      </w:r>
      <w:r>
        <w:tab/>
        <w:t xml:space="preserve">Blanco-Canqui, H. &amp; Lal, R. Crop residue removal impacts on soil productivity and environmental quality. </w:t>
      </w:r>
      <w:r>
        <w:rPr>
          <w:i/>
          <w:iCs/>
        </w:rPr>
        <w:t>Critical reviews in plant science</w:t>
      </w:r>
      <w:r>
        <w:t xml:space="preserve"> </w:t>
      </w:r>
      <w:r>
        <w:rPr>
          <w:b/>
          <w:bCs/>
        </w:rPr>
        <w:t>28</w:t>
      </w:r>
      <w:r>
        <w:t xml:space="preserve">, 139–163 (2009). </w:t>
      </w:r>
    </w:p>
    <w:p w14:paraId="4B90AFA1" w14:textId="77777777" w:rsidR="00BC2A6D" w:rsidRDefault="00000000">
      <w:pPr>
        <w:pStyle w:val="EndNoteBibliography"/>
        <w:spacing w:after="0"/>
        <w:ind w:left="720" w:hanging="720"/>
      </w:pPr>
      <w:r>
        <w:t>96</w:t>
      </w:r>
      <w:r>
        <w:tab/>
        <w:t>Solangi, F.</w:t>
      </w:r>
      <w:r>
        <w:rPr>
          <w:i/>
          <w:iCs/>
        </w:rPr>
        <w:t xml:space="preserve"> et al.</w:t>
      </w:r>
      <w:r>
        <w:t xml:space="preserve"> Responses of soil enzymatic activities and microbial biomass phosphorus to improve nutrient accumulation abilities in leguminous species. </w:t>
      </w:r>
      <w:r>
        <w:rPr>
          <w:i/>
          <w:iCs/>
        </w:rPr>
        <w:t>Scientific Reports</w:t>
      </w:r>
      <w:r>
        <w:t xml:space="preserve"> </w:t>
      </w:r>
      <w:r>
        <w:rPr>
          <w:b/>
          <w:bCs/>
        </w:rPr>
        <w:t>14</w:t>
      </w:r>
      <w:r>
        <w:t xml:space="preserve">, 11139 (2024). </w:t>
      </w:r>
    </w:p>
    <w:p w14:paraId="08AE8A7C" w14:textId="77777777" w:rsidR="00BC2A6D" w:rsidRDefault="00000000">
      <w:pPr>
        <w:pStyle w:val="EndNoteBibliography"/>
        <w:spacing w:after="0"/>
        <w:ind w:left="720" w:hanging="720"/>
      </w:pPr>
      <w:r>
        <w:rPr>
          <w:lang w:val="nl-NL"/>
        </w:rPr>
        <w:t>97</w:t>
      </w:r>
      <w:r>
        <w:rPr>
          <w:lang w:val="nl-NL"/>
        </w:rPr>
        <w:tab/>
        <w:t>Hu, N.</w:t>
      </w:r>
      <w:r>
        <w:rPr>
          <w:i/>
          <w:iCs/>
        </w:rPr>
        <w:t xml:space="preserve"> et al.</w:t>
      </w:r>
      <w:r>
        <w:t xml:space="preserve"> Increasing phosphorus limitation with tree age in tropical forests. </w:t>
      </w:r>
      <w:r>
        <w:rPr>
          <w:i/>
          <w:iCs/>
        </w:rPr>
        <w:t>Plant and Soil</w:t>
      </w:r>
      <w:r>
        <w:t xml:space="preserve">, 1–13 (2025). </w:t>
      </w:r>
    </w:p>
    <w:p w14:paraId="2B03661A" w14:textId="77777777" w:rsidR="00BC2A6D" w:rsidRDefault="00000000">
      <w:pPr>
        <w:pStyle w:val="EndNoteBibliography"/>
        <w:spacing w:after="0"/>
        <w:ind w:left="720" w:hanging="720"/>
      </w:pPr>
      <w:r>
        <w:t>98</w:t>
      </w:r>
      <w:r>
        <w:tab/>
        <w:t xml:space="preserve">Clausing, S. &amp; Polle, A. Mycorrhizal phosphorus efficiencies and microbial competition drive root P uptake. </w:t>
      </w:r>
      <w:r>
        <w:rPr>
          <w:i/>
          <w:iCs/>
        </w:rPr>
        <w:t>Frontiers in Forests and Global Change</w:t>
      </w:r>
      <w:r>
        <w:t xml:space="preserve"> </w:t>
      </w:r>
      <w:r>
        <w:rPr>
          <w:b/>
          <w:bCs/>
        </w:rPr>
        <w:t>3</w:t>
      </w:r>
      <w:r>
        <w:t xml:space="preserve">, 54 (2020). </w:t>
      </w:r>
    </w:p>
    <w:p w14:paraId="3C70CFFB" w14:textId="77777777" w:rsidR="00BC2A6D" w:rsidRDefault="00000000">
      <w:pPr>
        <w:pStyle w:val="EndNoteBibliography"/>
        <w:spacing w:after="0"/>
        <w:ind w:left="720" w:hanging="720"/>
      </w:pPr>
      <w:r>
        <w:t>99</w:t>
      </w:r>
      <w:r>
        <w:tab/>
        <w:t xml:space="preserve">Jansa, J., Finlay, R., Wallander, H., Smith, F. A. &amp; Smith, S. E. in </w:t>
      </w:r>
      <w:r>
        <w:rPr>
          <w:i/>
          <w:iCs/>
        </w:rPr>
        <w:t>Phosphorus in action: biological processes in soil phosphorus cycling</w:t>
      </w:r>
      <w:r>
        <w:t xml:space="preserve">     137–168 (Springer, 2010).</w:t>
      </w:r>
    </w:p>
    <w:p w14:paraId="4EE7B689" w14:textId="77777777" w:rsidR="00BC2A6D" w:rsidRDefault="00000000">
      <w:pPr>
        <w:pStyle w:val="EndNoteBibliography"/>
        <w:spacing w:after="0"/>
        <w:ind w:left="720" w:hanging="720"/>
      </w:pPr>
      <w:r>
        <w:t>100</w:t>
      </w:r>
      <w:r>
        <w:tab/>
        <w:t>Fahad, S.</w:t>
      </w:r>
      <w:r>
        <w:rPr>
          <w:i/>
          <w:iCs/>
        </w:rPr>
        <w:t xml:space="preserve"> et al.</w:t>
      </w:r>
      <w:r>
        <w:t xml:space="preserve"> Agroforestry systems for soil health improvement and maintenance. </w:t>
      </w:r>
      <w:r>
        <w:rPr>
          <w:i/>
          <w:iCs/>
        </w:rPr>
        <w:t>Sustainability</w:t>
      </w:r>
      <w:r>
        <w:t xml:space="preserve"> </w:t>
      </w:r>
      <w:r>
        <w:rPr>
          <w:b/>
          <w:bCs/>
        </w:rPr>
        <w:t>14</w:t>
      </w:r>
      <w:r>
        <w:t xml:space="preserve">, 14877 (2022). </w:t>
      </w:r>
    </w:p>
    <w:p w14:paraId="2A528441" w14:textId="77777777" w:rsidR="00BC2A6D" w:rsidRDefault="00000000">
      <w:pPr>
        <w:pStyle w:val="EndNoteBibliography"/>
        <w:spacing w:after="0"/>
        <w:ind w:left="720" w:hanging="720"/>
      </w:pPr>
      <w:r>
        <w:t>101</w:t>
      </w:r>
      <w:r>
        <w:tab/>
        <w:t>Ngaba, M. J. Y.</w:t>
      </w:r>
      <w:r>
        <w:rPr>
          <w:i/>
          <w:iCs/>
        </w:rPr>
        <w:t xml:space="preserve"> et al.</w:t>
      </w:r>
      <w:r>
        <w:t xml:space="preserve"> Meta-analysis unveils differential effects of agroforestry on soil properties in different zonobiomes. </w:t>
      </w:r>
      <w:r>
        <w:rPr>
          <w:i/>
          <w:iCs/>
        </w:rPr>
        <w:t>Plant and Soil</w:t>
      </w:r>
      <w:r>
        <w:t xml:space="preserve"> </w:t>
      </w:r>
      <w:r>
        <w:rPr>
          <w:b/>
          <w:bCs/>
        </w:rPr>
        <w:t>496</w:t>
      </w:r>
      <w:r>
        <w:t xml:space="preserve">, 589–607 (2024). </w:t>
      </w:r>
    </w:p>
    <w:p w14:paraId="3AA88D53" w14:textId="77777777" w:rsidR="00BC2A6D" w:rsidRDefault="00000000">
      <w:pPr>
        <w:pStyle w:val="EndNoteBibliography"/>
        <w:spacing w:after="0"/>
        <w:ind w:left="720" w:hanging="720"/>
      </w:pPr>
      <w:r>
        <w:rPr>
          <w:lang w:val="pt-PT"/>
        </w:rPr>
        <w:t>102</w:t>
      </w:r>
      <w:r>
        <w:rPr>
          <w:lang w:val="pt-PT"/>
        </w:rPr>
        <w:tab/>
        <w:t>Futerman, S. I.</w:t>
      </w:r>
      <w:r>
        <w:rPr>
          <w:i/>
          <w:iCs/>
        </w:rPr>
        <w:t xml:space="preserve"> et al.</w:t>
      </w:r>
      <w:r>
        <w:t xml:space="preserve"> Assessing field-scale rill erosion mitigation by cover crops in arable land using drone image analysis. </w:t>
      </w:r>
      <w:r>
        <w:rPr>
          <w:i/>
          <w:iCs/>
        </w:rPr>
        <w:t>Soil and Tillage Research</w:t>
      </w:r>
      <w:r>
        <w:t xml:space="preserve"> </w:t>
      </w:r>
      <w:r>
        <w:rPr>
          <w:b/>
          <w:bCs/>
        </w:rPr>
        <w:t>246</w:t>
      </w:r>
      <w:r>
        <w:t xml:space="preserve">, 106341 (2025). </w:t>
      </w:r>
    </w:p>
    <w:p w14:paraId="6F428F94" w14:textId="77777777" w:rsidR="00BC2A6D" w:rsidRDefault="00000000">
      <w:pPr>
        <w:pStyle w:val="EndNoteBibliography"/>
        <w:spacing w:after="0"/>
        <w:ind w:left="720" w:hanging="720"/>
      </w:pPr>
      <w:r>
        <w:rPr>
          <w:lang w:val="pt-PT"/>
        </w:rPr>
        <w:t>103</w:t>
      </w:r>
      <w:r>
        <w:rPr>
          <w:lang w:val="pt-PT"/>
        </w:rPr>
        <w:tab/>
        <w:t xml:space="preserve">Barbosa, E. A., Paula, A. L. d., Santos, </w:t>
      </w:r>
      <w:r w:rsidRPr="009800E7">
        <w:t>É</w:t>
      </w:r>
      <w:r>
        <w:t xml:space="preserve">. L. d., Barbosa, F. T. &amp; Giarola, N. F. Use of Agricultural Terraces to Control Water Loss on Slopes Cultivated with Grains Under a No-TillAGE System. </w:t>
      </w:r>
      <w:r>
        <w:rPr>
          <w:i/>
          <w:iCs/>
          <w:lang w:val="pt-PT"/>
        </w:rPr>
        <w:t>Engenharia Agr</w:t>
      </w:r>
      <w:r>
        <w:rPr>
          <w:i/>
          <w:iCs/>
        </w:rPr>
        <w:t>í</w:t>
      </w:r>
      <w:r>
        <w:rPr>
          <w:i/>
          <w:iCs/>
          <w:lang w:val="it-IT"/>
        </w:rPr>
        <w:t>cola</w:t>
      </w:r>
      <w:r>
        <w:t xml:space="preserve"> </w:t>
      </w:r>
      <w:r>
        <w:rPr>
          <w:b/>
          <w:bCs/>
        </w:rPr>
        <w:t>45</w:t>
      </w:r>
      <w:r>
        <w:t xml:space="preserve">, e20240186 (2025). </w:t>
      </w:r>
    </w:p>
    <w:p w14:paraId="678B0637" w14:textId="77777777" w:rsidR="00BC2A6D" w:rsidRDefault="00000000">
      <w:pPr>
        <w:pStyle w:val="EndNoteBibliography"/>
        <w:spacing w:after="0"/>
        <w:ind w:left="720" w:hanging="720"/>
      </w:pPr>
      <w:r>
        <w:t>104</w:t>
      </w:r>
      <w:r>
        <w:tab/>
        <w:t>Wang, G.</w:t>
      </w:r>
      <w:r>
        <w:rPr>
          <w:i/>
          <w:iCs/>
        </w:rPr>
        <w:t xml:space="preserve"> et al.</w:t>
      </w:r>
      <w:r>
        <w:t xml:space="preserve"> Effect of Terracing on Soil Moisture of Slope Farmland in Northeast China</w:t>
      </w:r>
      <w:r>
        <w:rPr>
          <w:rtl/>
        </w:rPr>
        <w:t>’</w:t>
      </w:r>
      <w:r>
        <w:rPr>
          <w:lang w:val="it-IT"/>
        </w:rPr>
        <w:t xml:space="preserve">s Black Soil Region. </w:t>
      </w:r>
      <w:r>
        <w:rPr>
          <w:i/>
          <w:iCs/>
          <w:lang w:val="pt-PT"/>
        </w:rPr>
        <w:t>Agriculture</w:t>
      </w:r>
      <w:r>
        <w:t xml:space="preserve"> </w:t>
      </w:r>
      <w:r>
        <w:rPr>
          <w:b/>
          <w:bCs/>
        </w:rPr>
        <w:t>13</w:t>
      </w:r>
      <w:r>
        <w:t xml:space="preserve">, 1876 (2023). </w:t>
      </w:r>
    </w:p>
    <w:p w14:paraId="5B7A6A15" w14:textId="77777777" w:rsidR="00BC2A6D" w:rsidRDefault="00000000">
      <w:pPr>
        <w:pStyle w:val="EndNoteBibliography"/>
        <w:spacing w:after="0"/>
        <w:ind w:left="720" w:hanging="720"/>
      </w:pPr>
      <w:r>
        <w:rPr>
          <w:lang w:val="nl-NL"/>
        </w:rPr>
        <w:t>105</w:t>
      </w:r>
      <w:r>
        <w:rPr>
          <w:lang w:val="nl-NL"/>
        </w:rPr>
        <w:tab/>
        <w:t>Corbeels, M.</w:t>
      </w:r>
      <w:r>
        <w:rPr>
          <w:i/>
          <w:iCs/>
        </w:rPr>
        <w:t xml:space="preserve"> et al.</w:t>
      </w:r>
      <w:r>
        <w:t xml:space="preserve"> Understanding the impact and adoption of conservation agriculture in Africa: A multi-scale analysis. </w:t>
      </w:r>
      <w:r>
        <w:rPr>
          <w:i/>
          <w:iCs/>
        </w:rPr>
        <w:t>Agriculture, Ecosystems &amp; Environment</w:t>
      </w:r>
      <w:r>
        <w:t xml:space="preserve"> </w:t>
      </w:r>
      <w:r>
        <w:rPr>
          <w:b/>
          <w:bCs/>
        </w:rPr>
        <w:t>187</w:t>
      </w:r>
      <w:r>
        <w:t xml:space="preserve">, 155–170 (2014). </w:t>
      </w:r>
    </w:p>
    <w:p w14:paraId="02449C5F" w14:textId="77777777" w:rsidR="00BC2A6D" w:rsidRDefault="00000000">
      <w:pPr>
        <w:pStyle w:val="EndNoteBibliography"/>
        <w:spacing w:after="0"/>
        <w:ind w:left="720" w:hanging="720"/>
      </w:pPr>
      <w:r>
        <w:rPr>
          <w:lang w:val="it-IT"/>
        </w:rPr>
        <w:t>106</w:t>
      </w:r>
      <w:r>
        <w:rPr>
          <w:lang w:val="it-IT"/>
        </w:rPr>
        <w:tab/>
        <w:t>Veresoglou, S. D.</w:t>
      </w:r>
      <w:r>
        <w:rPr>
          <w:i/>
          <w:iCs/>
        </w:rPr>
        <w:t xml:space="preserve"> et al.</w:t>
      </w:r>
      <w:r>
        <w:t xml:space="preserve"> No tillage outperforms conventional tillage under arid conditions and following fertilization. </w:t>
      </w:r>
      <w:r>
        <w:rPr>
          <w:i/>
          <w:iCs/>
        </w:rPr>
        <w:t>Soil Ecology Letters</w:t>
      </w:r>
      <w:r>
        <w:t xml:space="preserve"> </w:t>
      </w:r>
      <w:r>
        <w:rPr>
          <w:b/>
          <w:bCs/>
        </w:rPr>
        <w:t>5</w:t>
      </w:r>
      <w:r>
        <w:t xml:space="preserve">, 137–141 (2023). </w:t>
      </w:r>
    </w:p>
    <w:p w14:paraId="1D2F9BD7" w14:textId="77777777" w:rsidR="00BC2A6D" w:rsidRDefault="00000000">
      <w:pPr>
        <w:pStyle w:val="EndNoteBibliography"/>
        <w:spacing w:after="0"/>
        <w:ind w:left="720" w:hanging="720"/>
      </w:pPr>
      <w:r>
        <w:t>107</w:t>
      </w:r>
      <w:r>
        <w:tab/>
        <w:t xml:space="preserve">Dang, Y. P., Page, K. L., Dalal, R. C. &amp; Menzies, N. W. No-till farming systems for sustainable agriculture: an overview. </w:t>
      </w:r>
      <w:r>
        <w:rPr>
          <w:i/>
          <w:iCs/>
        </w:rPr>
        <w:t>No-till farming systems for sustainable agriculture: Challenges and opportunities</w:t>
      </w:r>
      <w:r>
        <w:t xml:space="preserve">, 3–20 (2020). </w:t>
      </w:r>
    </w:p>
    <w:p w14:paraId="467A4AD8" w14:textId="77777777" w:rsidR="00BC2A6D" w:rsidRDefault="00000000">
      <w:pPr>
        <w:pStyle w:val="EndNoteBibliography"/>
        <w:spacing w:after="0"/>
        <w:ind w:left="720" w:hanging="720"/>
      </w:pPr>
      <w:r>
        <w:t>108</w:t>
      </w:r>
      <w:r>
        <w:tab/>
        <w:t xml:space="preserve">Derpsch, R., Friedrich, T., Kassam, A. &amp; Li, H. Current status of adoption of no-till farming in the world and some of its main benefits. </w:t>
      </w:r>
      <w:r>
        <w:rPr>
          <w:i/>
          <w:iCs/>
        </w:rPr>
        <w:t>International journal of agricultural and biological engineering</w:t>
      </w:r>
      <w:r>
        <w:t xml:space="preserve"> </w:t>
      </w:r>
      <w:r>
        <w:rPr>
          <w:b/>
          <w:bCs/>
        </w:rPr>
        <w:t>3</w:t>
      </w:r>
      <w:r>
        <w:t xml:space="preserve">, 1–25 (2010). </w:t>
      </w:r>
    </w:p>
    <w:p w14:paraId="5C9612BD" w14:textId="77777777" w:rsidR="00BC2A6D" w:rsidRDefault="00000000">
      <w:pPr>
        <w:pStyle w:val="EndNoteBibliography"/>
        <w:spacing w:after="0"/>
        <w:ind w:left="720" w:hanging="720"/>
      </w:pPr>
      <w:r>
        <w:t>109</w:t>
      </w:r>
      <w:r>
        <w:tab/>
        <w:t>Giller, K. E., Witter, E., Corbeels, M. &amp; Tittonell, P. Conservation agriculture and smallholder farming in Africa: the heretics</w:t>
      </w:r>
      <w:r>
        <w:rPr>
          <w:rtl/>
        </w:rPr>
        <w:t xml:space="preserve">’ </w:t>
      </w:r>
      <w:r>
        <w:t xml:space="preserve">view. </w:t>
      </w:r>
      <w:r>
        <w:rPr>
          <w:i/>
          <w:iCs/>
        </w:rPr>
        <w:t>Field crops research</w:t>
      </w:r>
      <w:r>
        <w:t xml:space="preserve"> </w:t>
      </w:r>
      <w:r>
        <w:rPr>
          <w:b/>
          <w:bCs/>
        </w:rPr>
        <w:t>114</w:t>
      </w:r>
      <w:r>
        <w:t xml:space="preserve">, 23–34 (2009). </w:t>
      </w:r>
    </w:p>
    <w:p w14:paraId="0459C770" w14:textId="77777777" w:rsidR="00BC2A6D" w:rsidRDefault="00000000">
      <w:pPr>
        <w:pStyle w:val="EndNoteBibliography"/>
        <w:spacing w:after="0"/>
        <w:ind w:left="720" w:hanging="720"/>
      </w:pPr>
      <w:r>
        <w:rPr>
          <w:lang w:val="da-DK"/>
        </w:rPr>
        <w:t>110</w:t>
      </w:r>
      <w:r>
        <w:rPr>
          <w:lang w:val="da-DK"/>
        </w:rPr>
        <w:tab/>
        <w:t>Giller, K. E.</w:t>
      </w:r>
      <w:r>
        <w:rPr>
          <w:i/>
          <w:iCs/>
        </w:rPr>
        <w:t xml:space="preserve"> et al.</w:t>
      </w:r>
      <w:r>
        <w:t xml:space="preserve"> Beyond conservation agriculture. </w:t>
      </w:r>
      <w:r w:rsidRPr="009800E7">
        <w:rPr>
          <w:i/>
          <w:iCs/>
        </w:rPr>
        <w:t>Frontiers in plant science</w:t>
      </w:r>
      <w:r>
        <w:t xml:space="preserve"> </w:t>
      </w:r>
      <w:r>
        <w:rPr>
          <w:b/>
          <w:bCs/>
        </w:rPr>
        <w:t>6</w:t>
      </w:r>
      <w:r>
        <w:t xml:space="preserve">, 870 (2015). </w:t>
      </w:r>
    </w:p>
    <w:p w14:paraId="0344C0F3" w14:textId="77777777" w:rsidR="00BC2A6D" w:rsidRDefault="00000000">
      <w:pPr>
        <w:pStyle w:val="EndNoteBibliography"/>
        <w:spacing w:after="0"/>
        <w:ind w:left="720" w:hanging="720"/>
      </w:pPr>
      <w:r>
        <w:rPr>
          <w:lang w:val="pt-PT"/>
        </w:rPr>
        <w:t>111</w:t>
      </w:r>
      <w:r>
        <w:rPr>
          <w:lang w:val="pt-PT"/>
        </w:rPr>
        <w:tab/>
        <w:t>Tian, L.</w:t>
      </w:r>
      <w:r>
        <w:rPr>
          <w:i/>
          <w:iCs/>
        </w:rPr>
        <w:t xml:space="preserve"> et al.</w:t>
      </w:r>
      <w:r>
        <w:t xml:space="preserve"> Diversified cover crops and no-till enhanced soil total nitrogen and arbuscular mycorrhizal fungi diversity: A case study from the Karst Area of Southwest China. </w:t>
      </w:r>
      <w:r>
        <w:rPr>
          <w:i/>
          <w:iCs/>
          <w:lang w:val="pt-PT"/>
        </w:rPr>
        <w:t>Agriculture</w:t>
      </w:r>
      <w:r>
        <w:t xml:space="preserve"> </w:t>
      </w:r>
      <w:r>
        <w:rPr>
          <w:b/>
          <w:bCs/>
        </w:rPr>
        <w:t>14</w:t>
      </w:r>
      <w:r>
        <w:t xml:space="preserve">, 1103 (2024). </w:t>
      </w:r>
    </w:p>
    <w:p w14:paraId="7FAAD2A9" w14:textId="77777777" w:rsidR="00BC2A6D" w:rsidRDefault="00000000">
      <w:pPr>
        <w:pStyle w:val="EndNoteBibliography"/>
        <w:spacing w:after="0"/>
        <w:ind w:left="720" w:hanging="720"/>
      </w:pPr>
      <w:r>
        <w:rPr>
          <w:lang w:val="de-DE"/>
        </w:rPr>
        <w:t>112</w:t>
      </w:r>
      <w:r>
        <w:rPr>
          <w:lang w:val="de-DE"/>
        </w:rPr>
        <w:tab/>
        <w:t>Besen, M. R.</w:t>
      </w:r>
      <w:r>
        <w:rPr>
          <w:i/>
          <w:iCs/>
        </w:rPr>
        <w:t xml:space="preserve"> et al.</w:t>
      </w:r>
      <w:r>
        <w:t xml:space="preserve"> Cover cropping associated with no-tillage system promotes soil carbon sequestration and increases crop yield in Southern Brazil. </w:t>
      </w:r>
      <w:r>
        <w:rPr>
          <w:i/>
          <w:iCs/>
        </w:rPr>
        <w:t>Soil and Tillage Research</w:t>
      </w:r>
      <w:r>
        <w:t xml:space="preserve"> </w:t>
      </w:r>
      <w:r>
        <w:rPr>
          <w:b/>
          <w:bCs/>
        </w:rPr>
        <w:t>242</w:t>
      </w:r>
      <w:r>
        <w:t xml:space="preserve">, 106162 (2024). </w:t>
      </w:r>
    </w:p>
    <w:p w14:paraId="576099ED" w14:textId="77777777" w:rsidR="00BC2A6D" w:rsidRDefault="00000000">
      <w:pPr>
        <w:pStyle w:val="EndNoteBibliography"/>
        <w:spacing w:after="0"/>
        <w:ind w:left="720" w:hanging="720"/>
      </w:pPr>
      <w:r>
        <w:t>113</w:t>
      </w:r>
      <w:r>
        <w:tab/>
        <w:t xml:space="preserve">Jabro, J. D., Allen, B. L., Rand, T., Dangi, S. R. &amp; Campbell, J. W. Effect of previous crop roots on soil compaction in 2 yr rotations under a no-tillage system. </w:t>
      </w:r>
      <w:r>
        <w:rPr>
          <w:i/>
          <w:iCs/>
          <w:lang w:val="de-DE"/>
        </w:rPr>
        <w:t>Land</w:t>
      </w:r>
      <w:r>
        <w:t xml:space="preserve"> </w:t>
      </w:r>
      <w:r>
        <w:rPr>
          <w:b/>
          <w:bCs/>
        </w:rPr>
        <w:t>10</w:t>
      </w:r>
      <w:r>
        <w:t xml:space="preserve">, 202 (2021). </w:t>
      </w:r>
    </w:p>
    <w:p w14:paraId="2FFE05AC" w14:textId="77777777" w:rsidR="00BC2A6D" w:rsidRDefault="00000000">
      <w:pPr>
        <w:pStyle w:val="EndNoteBibliography"/>
        <w:spacing w:after="0"/>
        <w:ind w:left="720" w:hanging="720"/>
      </w:pPr>
      <w:r>
        <w:lastRenderedPageBreak/>
        <w:t>114</w:t>
      </w:r>
      <w:r>
        <w:tab/>
        <w:t>Leng, V.</w:t>
      </w:r>
      <w:r>
        <w:rPr>
          <w:i/>
          <w:iCs/>
        </w:rPr>
        <w:t xml:space="preserve"> et al.</w:t>
      </w:r>
      <w:r>
        <w:t xml:space="preserve"> Diachronic assessment of soil organic C and N dynamics under long-term no-till cropping systems in the tropical upland of Cambodia. </w:t>
      </w:r>
      <w:r>
        <w:rPr>
          <w:i/>
          <w:iCs/>
        </w:rPr>
        <w:t>Soil</w:t>
      </w:r>
      <w:r>
        <w:t xml:space="preserve"> </w:t>
      </w:r>
      <w:r>
        <w:rPr>
          <w:b/>
          <w:bCs/>
        </w:rPr>
        <w:t>10</w:t>
      </w:r>
      <w:r>
        <w:t xml:space="preserve">, 699–725 (2024). </w:t>
      </w:r>
    </w:p>
    <w:p w14:paraId="3F2C5287" w14:textId="77777777" w:rsidR="00BC2A6D" w:rsidRDefault="00000000">
      <w:pPr>
        <w:pStyle w:val="EndNoteBibliography"/>
        <w:spacing w:after="0"/>
        <w:ind w:left="720" w:hanging="720"/>
      </w:pPr>
      <w:r>
        <w:t>115</w:t>
      </w:r>
      <w:r>
        <w:tab/>
        <w:t xml:space="preserve">Shackelford, G. E., Kelsey, R. &amp; Dicks, L. V. Effects of cover crops on multiple ecosystem services: Ten meta-analyses of data from arable farmland in California and the Mediterranean. </w:t>
      </w:r>
      <w:r>
        <w:rPr>
          <w:i/>
          <w:iCs/>
        </w:rPr>
        <w:t>Land use policy</w:t>
      </w:r>
      <w:r>
        <w:t xml:space="preserve"> </w:t>
      </w:r>
      <w:r>
        <w:rPr>
          <w:b/>
          <w:bCs/>
        </w:rPr>
        <w:t>88</w:t>
      </w:r>
      <w:r>
        <w:t xml:space="preserve">, 104204 (2019). </w:t>
      </w:r>
    </w:p>
    <w:p w14:paraId="2266E3FB" w14:textId="77777777" w:rsidR="00BC2A6D" w:rsidRDefault="00000000">
      <w:pPr>
        <w:pStyle w:val="EndNoteBibliography"/>
        <w:spacing w:after="0"/>
        <w:ind w:left="720" w:hanging="720"/>
      </w:pPr>
      <w:r>
        <w:t>116</w:t>
      </w:r>
      <w:r>
        <w:tab/>
        <w:t xml:space="preserve">De Las Salas, G. Agroforestry Systems in Latin America. </w:t>
      </w:r>
      <w:r>
        <w:rPr>
          <w:i/>
          <w:iCs/>
        </w:rPr>
        <w:t>Turrialba, AMAZON ECOLOGY AND ADAPTATION</w:t>
      </w:r>
      <w:r>
        <w:t xml:space="preserve"> </w:t>
      </w:r>
      <w:r>
        <w:rPr>
          <w:b/>
          <w:bCs/>
        </w:rPr>
        <w:t>87</w:t>
      </w:r>
      <w:r>
        <w:t xml:space="preserve">, 97–115 (1979). </w:t>
      </w:r>
    </w:p>
    <w:p w14:paraId="6044CCFA" w14:textId="77777777" w:rsidR="00BC2A6D" w:rsidRDefault="00000000">
      <w:pPr>
        <w:pStyle w:val="EndNoteBibliography"/>
        <w:spacing w:after="0"/>
        <w:ind w:left="720" w:hanging="720"/>
      </w:pPr>
      <w:r>
        <w:t>117</w:t>
      </w:r>
      <w:r>
        <w:tab/>
        <w:t xml:space="preserve">Rohmer, J., Belbeze, S. &amp; Guyonnet, D. Insights into the prediction uncertainty of machine-learning-based digital soil mapping through a local attribution approach. </w:t>
      </w:r>
      <w:r>
        <w:rPr>
          <w:i/>
          <w:iCs/>
        </w:rPr>
        <w:t>Soil</w:t>
      </w:r>
      <w:r>
        <w:t xml:space="preserve"> </w:t>
      </w:r>
      <w:r>
        <w:rPr>
          <w:b/>
          <w:bCs/>
        </w:rPr>
        <w:t>10</w:t>
      </w:r>
      <w:r>
        <w:t xml:space="preserve">, 679–697 (2024). </w:t>
      </w:r>
    </w:p>
    <w:p w14:paraId="4A7886E2" w14:textId="77777777" w:rsidR="00BC2A6D" w:rsidRDefault="00000000">
      <w:pPr>
        <w:pStyle w:val="EndNoteBibliography"/>
        <w:spacing w:after="0"/>
        <w:ind w:left="720" w:hanging="720"/>
      </w:pPr>
      <w:r>
        <w:rPr>
          <w:lang w:val="de-DE"/>
        </w:rPr>
        <w:t>118</w:t>
      </w:r>
      <w:r>
        <w:rPr>
          <w:lang w:val="de-DE"/>
        </w:rPr>
        <w:tab/>
        <w:t>Groß</w:t>
      </w:r>
      <w:r>
        <w:t>, J.</w:t>
      </w:r>
      <w:r>
        <w:rPr>
          <w:i/>
          <w:iCs/>
        </w:rPr>
        <w:t xml:space="preserve"> et al.</w:t>
      </w:r>
      <w:r>
        <w:t xml:space="preserve"> Influence of small-scale spatial variability of soil properties on yield formation of winter wheat. </w:t>
      </w:r>
      <w:r>
        <w:rPr>
          <w:i/>
          <w:iCs/>
        </w:rPr>
        <w:t>Plant and Soil</w:t>
      </w:r>
      <w:r>
        <w:t xml:space="preserve"> </w:t>
      </w:r>
      <w:r>
        <w:rPr>
          <w:b/>
          <w:bCs/>
        </w:rPr>
        <w:t>493</w:t>
      </w:r>
      <w:r>
        <w:t xml:space="preserve">, 79–97 (2023). </w:t>
      </w:r>
    </w:p>
    <w:p w14:paraId="0CDB73CE" w14:textId="77777777" w:rsidR="00BC2A6D" w:rsidRDefault="00000000">
      <w:pPr>
        <w:pStyle w:val="EndNoteBibliography"/>
        <w:spacing w:after="0"/>
        <w:ind w:left="720" w:hanging="720"/>
      </w:pPr>
      <w:r>
        <w:t>119</w:t>
      </w:r>
      <w:r>
        <w:tab/>
        <w:t>Kinnee, E. J.</w:t>
      </w:r>
      <w:r>
        <w:rPr>
          <w:i/>
          <w:iCs/>
        </w:rPr>
        <w:t xml:space="preserve"> et al.</w:t>
      </w:r>
      <w:r>
        <w:t xml:space="preserve"> Geocoding error, spatial uncertainty, and implications for exposure assessment and environmental epidemiology. </w:t>
      </w:r>
      <w:r>
        <w:rPr>
          <w:i/>
          <w:iCs/>
        </w:rPr>
        <w:t>International journal of environmental research and public health</w:t>
      </w:r>
      <w:r>
        <w:t xml:space="preserve"> </w:t>
      </w:r>
      <w:r>
        <w:rPr>
          <w:b/>
          <w:bCs/>
        </w:rPr>
        <w:t>17</w:t>
      </w:r>
      <w:r>
        <w:t xml:space="preserve">, 5845 (2020). </w:t>
      </w:r>
    </w:p>
    <w:p w14:paraId="59F6684C" w14:textId="77777777" w:rsidR="00BC2A6D" w:rsidRDefault="00000000">
      <w:pPr>
        <w:pStyle w:val="EndNoteBibliography"/>
        <w:spacing w:after="0"/>
        <w:ind w:left="720" w:hanging="720"/>
      </w:pPr>
      <w:r>
        <w:t>120</w:t>
      </w:r>
      <w:r>
        <w:tab/>
        <w:t>Maynard, J. J.</w:t>
      </w:r>
      <w:r>
        <w:rPr>
          <w:i/>
          <w:iCs/>
        </w:rPr>
        <w:t xml:space="preserve"> et al.</w:t>
      </w:r>
      <w:r>
        <w:t xml:space="preserve"> Accuracy of regional-to-global soil maps for on-farm decision-making: are soil maps </w:t>
      </w:r>
      <w:r>
        <w:rPr>
          <w:rtl/>
          <w:lang w:val="ar-SA"/>
        </w:rPr>
        <w:t>“</w:t>
      </w:r>
      <w:r>
        <w:t>good enough”</w:t>
      </w:r>
      <w:r>
        <w:rPr>
          <w:lang w:val="zh-TW" w:eastAsia="zh-TW"/>
        </w:rPr>
        <w:t xml:space="preserve">? </w:t>
      </w:r>
      <w:r>
        <w:rPr>
          <w:i/>
          <w:iCs/>
        </w:rPr>
        <w:t>Soil</w:t>
      </w:r>
      <w:r>
        <w:t xml:space="preserve"> </w:t>
      </w:r>
      <w:r>
        <w:rPr>
          <w:b/>
          <w:bCs/>
        </w:rPr>
        <w:t>9</w:t>
      </w:r>
      <w:r>
        <w:t xml:space="preserve">, 277–300 (2023). </w:t>
      </w:r>
    </w:p>
    <w:p w14:paraId="5D0C09DE" w14:textId="77777777" w:rsidR="00BC2A6D" w:rsidRDefault="00000000">
      <w:pPr>
        <w:pStyle w:val="EndNoteBibliography"/>
        <w:spacing w:after="0"/>
        <w:ind w:left="720" w:hanging="720"/>
      </w:pPr>
      <w:r>
        <w:t>121</w:t>
      </w:r>
      <w:r>
        <w:tab/>
        <w:t>Wu, B.</w:t>
      </w:r>
      <w:r>
        <w:rPr>
          <w:i/>
          <w:iCs/>
        </w:rPr>
        <w:t xml:space="preserve"> et al.</w:t>
      </w:r>
      <w:r>
        <w:t xml:space="preserve"> Challenges and opportunities in remote sensing-based crop monitoring: A review. </w:t>
      </w:r>
      <w:r>
        <w:rPr>
          <w:i/>
          <w:iCs/>
        </w:rPr>
        <w:t>National Science Review</w:t>
      </w:r>
      <w:r>
        <w:t xml:space="preserve"> </w:t>
      </w:r>
      <w:r>
        <w:rPr>
          <w:b/>
          <w:bCs/>
        </w:rPr>
        <w:t>10</w:t>
      </w:r>
      <w:r>
        <w:t xml:space="preserve">, nwac290 (2023). </w:t>
      </w:r>
    </w:p>
    <w:p w14:paraId="31E376D2" w14:textId="77777777" w:rsidR="00BC2A6D" w:rsidRDefault="00000000">
      <w:pPr>
        <w:pStyle w:val="EndNoteBibliography"/>
        <w:spacing w:after="0"/>
        <w:ind w:left="720" w:hanging="720"/>
      </w:pPr>
      <w:r>
        <w:t>122</w:t>
      </w:r>
      <w:r>
        <w:tab/>
        <w:t xml:space="preserve">Dritsas, E. &amp; Trigka, M. Remote sensing and geospatial analysis in the big data era: A survey. </w:t>
      </w:r>
      <w:r>
        <w:rPr>
          <w:i/>
          <w:iCs/>
          <w:lang w:val="de-DE"/>
        </w:rPr>
        <w:t>Remote Sensing</w:t>
      </w:r>
      <w:r>
        <w:t xml:space="preserve"> </w:t>
      </w:r>
      <w:r>
        <w:rPr>
          <w:b/>
          <w:bCs/>
        </w:rPr>
        <w:t>17</w:t>
      </w:r>
      <w:r>
        <w:t xml:space="preserve">, 550 (2025). </w:t>
      </w:r>
    </w:p>
    <w:p w14:paraId="7E5222B6" w14:textId="77777777" w:rsidR="00BC2A6D" w:rsidRDefault="00000000">
      <w:pPr>
        <w:pStyle w:val="EndNoteBibliography"/>
        <w:spacing w:after="0"/>
        <w:ind w:left="720" w:hanging="720"/>
      </w:pPr>
      <w:r>
        <w:t>123</w:t>
      </w:r>
      <w:r>
        <w:tab/>
        <w:t xml:space="preserve">Feliciano, D., Ledo, A., Hillier, J. &amp; Nayak, D. R. Which agroforestry options give the greatest soil and above ground carbon benefits in different world regions? </w:t>
      </w:r>
      <w:r>
        <w:rPr>
          <w:i/>
          <w:iCs/>
        </w:rPr>
        <w:t>Agriculture, Ecosystems &amp; Environment</w:t>
      </w:r>
      <w:r>
        <w:t xml:space="preserve"> </w:t>
      </w:r>
      <w:r>
        <w:rPr>
          <w:b/>
          <w:bCs/>
        </w:rPr>
        <w:t>254</w:t>
      </w:r>
      <w:r>
        <w:t xml:space="preserve">, 117–129 (2018). </w:t>
      </w:r>
    </w:p>
    <w:p w14:paraId="300AAAD0" w14:textId="77777777" w:rsidR="00BC2A6D" w:rsidRDefault="00000000">
      <w:pPr>
        <w:pStyle w:val="EndNoteBibliography"/>
        <w:spacing w:after="0"/>
        <w:ind w:left="720" w:hanging="720"/>
      </w:pPr>
      <w:r w:rsidRPr="009800E7">
        <w:t>124</w:t>
      </w:r>
      <w:r w:rsidRPr="009800E7">
        <w:tab/>
        <w:t>Nair, P. R.</w:t>
      </w:r>
      <w:r>
        <w:rPr>
          <w:i/>
          <w:iCs/>
        </w:rPr>
        <w:t xml:space="preserve"> et al.</w:t>
      </w:r>
      <w:r>
        <w:t xml:space="preserve"> Global distribution of agroforestry systems. </w:t>
      </w:r>
      <w:r>
        <w:rPr>
          <w:i/>
          <w:iCs/>
        </w:rPr>
        <w:t>An introduction to agroforestry: four decades of scientific developments</w:t>
      </w:r>
      <w:r>
        <w:t xml:space="preserve">, 45–58 (2021). </w:t>
      </w:r>
    </w:p>
    <w:p w14:paraId="2447A96F" w14:textId="77777777" w:rsidR="00BC2A6D" w:rsidRDefault="00000000">
      <w:pPr>
        <w:pStyle w:val="EndNoteBibliography"/>
        <w:spacing w:after="0"/>
        <w:ind w:left="720" w:hanging="720"/>
      </w:pPr>
      <w:r>
        <w:t>125</w:t>
      </w:r>
      <w:r>
        <w:tab/>
        <w:t xml:space="preserve">Sprenkle-Hyppolite, S., Griscom, B., Griffey, V., Munshi, E. &amp; Chapman, M. Maximizing tree carbon in croplands and grazing lands while sustaining yields. </w:t>
      </w:r>
      <w:r>
        <w:rPr>
          <w:i/>
          <w:iCs/>
        </w:rPr>
        <w:t>Carbon Balance and Management</w:t>
      </w:r>
      <w:r>
        <w:t xml:space="preserve"> </w:t>
      </w:r>
      <w:r>
        <w:rPr>
          <w:b/>
          <w:bCs/>
        </w:rPr>
        <w:t>19</w:t>
      </w:r>
      <w:r>
        <w:t xml:space="preserve">, 23 (2024). </w:t>
      </w:r>
    </w:p>
    <w:p w14:paraId="6C3BBFD1" w14:textId="77777777" w:rsidR="00BC2A6D" w:rsidRDefault="00000000">
      <w:pPr>
        <w:pStyle w:val="EndNoteBibliography"/>
        <w:spacing w:after="0"/>
        <w:ind w:left="720" w:hanging="720"/>
      </w:pPr>
      <w:r>
        <w:t>126</w:t>
      </w:r>
      <w:r>
        <w:tab/>
        <w:t>Sharma, P.</w:t>
      </w:r>
      <w:r>
        <w:rPr>
          <w:i/>
          <w:iCs/>
        </w:rPr>
        <w:t xml:space="preserve"> et al.</w:t>
      </w:r>
      <w:r>
        <w:t xml:space="preserve"> The role of cover crops towards sustainable soil health and agriculture—A review paper. </w:t>
      </w:r>
      <w:r>
        <w:rPr>
          <w:i/>
          <w:iCs/>
        </w:rPr>
        <w:t>American Journal of Plant Sciences</w:t>
      </w:r>
      <w:r>
        <w:t xml:space="preserve"> </w:t>
      </w:r>
      <w:r>
        <w:rPr>
          <w:b/>
          <w:bCs/>
        </w:rPr>
        <w:t>9</w:t>
      </w:r>
      <w:r>
        <w:t xml:space="preserve">, 1935–1951 (2018). </w:t>
      </w:r>
    </w:p>
    <w:p w14:paraId="4B3AB37B" w14:textId="77777777" w:rsidR="00BC2A6D" w:rsidRDefault="00000000">
      <w:pPr>
        <w:pStyle w:val="EndNoteBibliography"/>
        <w:ind w:left="720" w:hanging="720"/>
      </w:pPr>
      <w:r>
        <w:rPr>
          <w:lang w:val="nl-NL"/>
        </w:rPr>
        <w:t>127</w:t>
      </w:r>
      <w:r>
        <w:rPr>
          <w:lang w:val="nl-NL"/>
        </w:rPr>
        <w:tab/>
        <w:t>Raheem, A.</w:t>
      </w:r>
      <w:r>
        <w:rPr>
          <w:i/>
          <w:iCs/>
        </w:rPr>
        <w:t xml:space="preserve"> et al.</w:t>
      </w:r>
      <w:r>
        <w:t xml:space="preserve"> Physical Management Strategies for Enhancing Soil Resilience to Climate Change: Insights From Africa. </w:t>
      </w:r>
      <w:r>
        <w:rPr>
          <w:i/>
          <w:iCs/>
        </w:rPr>
        <w:t>European Journal of Soil Science</w:t>
      </w:r>
      <w:r>
        <w:t xml:space="preserve"> </w:t>
      </w:r>
      <w:r>
        <w:rPr>
          <w:b/>
          <w:bCs/>
        </w:rPr>
        <w:t>76</w:t>
      </w:r>
      <w:r>
        <w:t xml:space="preserve">, e70030 (2025). </w:t>
      </w:r>
      <w:r>
        <w:fldChar w:fldCharType="end"/>
      </w:r>
    </w:p>
    <w:p w14:paraId="26044795" w14:textId="77777777" w:rsidR="00BC2A6D" w:rsidRDefault="00BC2A6D">
      <w:pPr>
        <w:pStyle w:val="NormalWeb"/>
        <w:rPr>
          <w:b/>
          <w:bCs/>
          <w:sz w:val="22"/>
          <w:szCs w:val="22"/>
        </w:rPr>
      </w:pPr>
    </w:p>
    <w:p w14:paraId="0D3AE710" w14:textId="77777777" w:rsidR="00BC2A6D" w:rsidRDefault="00BC2A6D">
      <w:pPr>
        <w:pStyle w:val="NormalWeb"/>
        <w:rPr>
          <w:b/>
          <w:bCs/>
          <w:sz w:val="22"/>
          <w:szCs w:val="22"/>
        </w:rPr>
      </w:pPr>
    </w:p>
    <w:p w14:paraId="27BF12AD" w14:textId="77777777" w:rsidR="00BC2A6D" w:rsidRDefault="00BC2A6D">
      <w:pPr>
        <w:pStyle w:val="NormalWeb"/>
        <w:rPr>
          <w:b/>
          <w:bCs/>
          <w:sz w:val="22"/>
          <w:szCs w:val="22"/>
        </w:rPr>
      </w:pPr>
    </w:p>
    <w:p w14:paraId="683C43B9" w14:textId="77777777" w:rsidR="00BC2A6D" w:rsidRDefault="00BC2A6D">
      <w:pPr>
        <w:pStyle w:val="NormalWeb"/>
        <w:rPr>
          <w:b/>
          <w:bCs/>
          <w:sz w:val="22"/>
          <w:szCs w:val="22"/>
        </w:rPr>
      </w:pPr>
    </w:p>
    <w:p w14:paraId="6AFEF7FB" w14:textId="77777777" w:rsidR="00BC2A6D" w:rsidRDefault="00BC2A6D">
      <w:pPr>
        <w:pStyle w:val="NormalWeb"/>
        <w:rPr>
          <w:b/>
          <w:bCs/>
          <w:sz w:val="22"/>
          <w:szCs w:val="22"/>
        </w:rPr>
      </w:pPr>
    </w:p>
    <w:p w14:paraId="527C47FA" w14:textId="77777777" w:rsidR="00BC2A6D" w:rsidRDefault="00BC2A6D">
      <w:pPr>
        <w:pStyle w:val="NormalWeb"/>
        <w:rPr>
          <w:b/>
          <w:bCs/>
          <w:sz w:val="22"/>
          <w:szCs w:val="22"/>
        </w:rPr>
      </w:pPr>
    </w:p>
    <w:p w14:paraId="04E21BF7" w14:textId="77777777" w:rsidR="00BC2A6D" w:rsidRDefault="00BC2A6D">
      <w:pPr>
        <w:pStyle w:val="NormalWeb"/>
        <w:rPr>
          <w:b/>
          <w:bCs/>
          <w:sz w:val="22"/>
          <w:szCs w:val="22"/>
        </w:rPr>
      </w:pPr>
    </w:p>
    <w:p w14:paraId="7157738C" w14:textId="77777777" w:rsidR="00BC2A6D" w:rsidRDefault="00BC2A6D">
      <w:pPr>
        <w:pStyle w:val="NormalWeb"/>
        <w:rPr>
          <w:b/>
          <w:bCs/>
          <w:sz w:val="22"/>
          <w:szCs w:val="22"/>
        </w:rPr>
      </w:pPr>
    </w:p>
    <w:p w14:paraId="42F8B121" w14:textId="77777777" w:rsidR="00BC2A6D" w:rsidRDefault="00BC2A6D">
      <w:pPr>
        <w:pStyle w:val="NormalWeb"/>
        <w:rPr>
          <w:b/>
          <w:bCs/>
          <w:sz w:val="22"/>
          <w:szCs w:val="22"/>
        </w:rPr>
      </w:pPr>
    </w:p>
    <w:p w14:paraId="59B00EC9" w14:textId="77777777" w:rsidR="00BC2A6D" w:rsidRDefault="00BC2A6D">
      <w:pPr>
        <w:pStyle w:val="NormalWeb"/>
        <w:rPr>
          <w:b/>
          <w:bCs/>
          <w:sz w:val="22"/>
          <w:szCs w:val="22"/>
        </w:rPr>
      </w:pPr>
    </w:p>
    <w:p w14:paraId="52342004" w14:textId="77777777" w:rsidR="00BC2A6D" w:rsidRDefault="00BC2A6D">
      <w:pPr>
        <w:pStyle w:val="NormalWeb"/>
        <w:rPr>
          <w:b/>
          <w:bCs/>
          <w:sz w:val="22"/>
          <w:szCs w:val="22"/>
        </w:rPr>
      </w:pPr>
    </w:p>
    <w:p w14:paraId="34BD21FB" w14:textId="77777777" w:rsidR="00BC2A6D" w:rsidRDefault="00BC2A6D">
      <w:pPr>
        <w:pStyle w:val="NormalWeb"/>
        <w:rPr>
          <w:b/>
          <w:bCs/>
          <w:sz w:val="22"/>
          <w:szCs w:val="22"/>
        </w:rPr>
      </w:pPr>
    </w:p>
    <w:p w14:paraId="56CD5C92" w14:textId="77777777" w:rsidR="00BC2A6D" w:rsidRDefault="00000000">
      <w:pPr>
        <w:pStyle w:val="NormalWeb"/>
        <w:rPr>
          <w:sz w:val="22"/>
          <w:szCs w:val="22"/>
        </w:rPr>
      </w:pPr>
      <w:r>
        <w:rPr>
          <w:rFonts w:eastAsia="Arial Unicode MS" w:cs="Arial Unicode MS"/>
          <w:b/>
          <w:bCs/>
          <w:sz w:val="22"/>
          <w:szCs w:val="22"/>
        </w:rPr>
        <w:t>S</w:t>
      </w:r>
      <w:r>
        <w:rPr>
          <w:rFonts w:eastAsia="Arial Unicode MS" w:cs="Arial Unicode MS"/>
          <w:sz w:val="22"/>
          <w:szCs w:val="22"/>
        </w:rPr>
        <w:t xml:space="preserve">upplementary Table 1: Crop groups  </w:t>
      </w:r>
    </w:p>
    <w:tbl>
      <w:tblPr>
        <w:tblW w:w="968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2"/>
        <w:gridCol w:w="1418"/>
        <w:gridCol w:w="1484"/>
        <w:gridCol w:w="1445"/>
        <w:gridCol w:w="2015"/>
        <w:gridCol w:w="1625"/>
      </w:tblGrid>
      <w:tr w:rsidR="00BC2A6D" w14:paraId="2C4535A0" w14:textId="77777777">
        <w:trPr>
          <w:trHeight w:val="481"/>
        </w:trPr>
        <w:tc>
          <w:tcPr>
            <w:tcW w:w="170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1F652455" w14:textId="77777777" w:rsidR="00BC2A6D" w:rsidRDefault="00000000">
            <w:pPr>
              <w:pStyle w:val="Body"/>
              <w:spacing w:after="0" w:line="240" w:lineRule="auto"/>
            </w:pPr>
            <w:r>
              <w:rPr>
                <w:rFonts w:ascii="Times New Roman" w:hAnsi="Times New Roman"/>
              </w:rPr>
              <w:t>Crop</w:t>
            </w:r>
          </w:p>
        </w:tc>
        <w:tc>
          <w:tcPr>
            <w:tcW w:w="14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062F9BD0" w14:textId="77777777" w:rsidR="00BC2A6D" w:rsidRDefault="00000000">
            <w:pPr>
              <w:pStyle w:val="Body"/>
              <w:spacing w:after="0" w:line="240" w:lineRule="auto"/>
            </w:pPr>
            <w:r>
              <w:rPr>
                <w:rFonts w:ascii="Times New Roman" w:hAnsi="Times New Roman"/>
              </w:rPr>
              <w:t>Crop group</w:t>
            </w:r>
          </w:p>
        </w:tc>
        <w:tc>
          <w:tcPr>
            <w:tcW w:w="148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B792040" w14:textId="77777777" w:rsidR="00BC2A6D" w:rsidRDefault="00000000">
            <w:pPr>
              <w:pStyle w:val="Body"/>
              <w:spacing w:after="0" w:line="240" w:lineRule="auto"/>
            </w:pPr>
            <w:r>
              <w:rPr>
                <w:rFonts w:ascii="Times New Roman" w:hAnsi="Times New Roman"/>
              </w:rPr>
              <w:t>Crop</w:t>
            </w:r>
          </w:p>
        </w:tc>
        <w:tc>
          <w:tcPr>
            <w:tcW w:w="144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20D71F1A" w14:textId="77777777" w:rsidR="00BC2A6D" w:rsidRDefault="00000000">
            <w:pPr>
              <w:pStyle w:val="Body"/>
              <w:spacing w:after="0" w:line="240" w:lineRule="auto"/>
            </w:pPr>
            <w:r>
              <w:rPr>
                <w:rFonts w:ascii="Times New Roman" w:hAnsi="Times New Roman"/>
              </w:rPr>
              <w:t>Crop group</w:t>
            </w:r>
          </w:p>
        </w:tc>
        <w:tc>
          <w:tcPr>
            <w:tcW w:w="201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77D0F8FD" w14:textId="77777777" w:rsidR="00BC2A6D" w:rsidRDefault="00000000">
            <w:pPr>
              <w:pStyle w:val="Body"/>
              <w:spacing w:after="0" w:line="240" w:lineRule="auto"/>
            </w:pPr>
            <w:r>
              <w:rPr>
                <w:rFonts w:ascii="Times New Roman" w:hAnsi="Times New Roman"/>
              </w:rPr>
              <w:t>Crop</w:t>
            </w:r>
          </w:p>
        </w:tc>
        <w:tc>
          <w:tcPr>
            <w:tcW w:w="162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26ED0C3B" w14:textId="77777777" w:rsidR="00BC2A6D" w:rsidRDefault="00000000">
            <w:pPr>
              <w:pStyle w:val="Body"/>
              <w:spacing w:after="0" w:line="240" w:lineRule="auto"/>
              <w:rPr>
                <w:rFonts w:ascii="Times New Roman" w:eastAsia="Times New Roman" w:hAnsi="Times New Roman" w:cs="Times New Roman"/>
              </w:rPr>
            </w:pPr>
            <w:r>
              <w:rPr>
                <w:rFonts w:ascii="Times New Roman" w:hAnsi="Times New Roman"/>
              </w:rPr>
              <w:t>Crop</w:t>
            </w:r>
          </w:p>
          <w:p w14:paraId="6EFAF2E5" w14:textId="77777777" w:rsidR="00BC2A6D" w:rsidRDefault="00000000">
            <w:pPr>
              <w:pStyle w:val="Body"/>
              <w:spacing w:after="0" w:line="240" w:lineRule="auto"/>
            </w:pPr>
            <w:r>
              <w:rPr>
                <w:rFonts w:ascii="Times New Roman" w:hAnsi="Times New Roman"/>
              </w:rPr>
              <w:t>group</w:t>
            </w:r>
          </w:p>
        </w:tc>
      </w:tr>
      <w:tr w:rsidR="00BC2A6D" w14:paraId="282663A9" w14:textId="77777777">
        <w:trPr>
          <w:trHeight w:val="246"/>
        </w:trPr>
        <w:tc>
          <w:tcPr>
            <w:tcW w:w="1701"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270D78" w14:textId="77777777" w:rsidR="00BC2A6D" w:rsidRDefault="00000000">
            <w:pPr>
              <w:pStyle w:val="Body"/>
              <w:spacing w:after="0" w:line="240" w:lineRule="auto"/>
            </w:pPr>
            <w:r>
              <w:rPr>
                <w:rFonts w:ascii="Times New Roman" w:hAnsi="Times New Roman"/>
              </w:rPr>
              <w:t>Corn</w:t>
            </w:r>
          </w:p>
        </w:tc>
        <w:tc>
          <w:tcPr>
            <w:tcW w:w="1418"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533CA656" w14:textId="77777777" w:rsidR="00BC2A6D" w:rsidRDefault="00000000">
            <w:pPr>
              <w:pStyle w:val="Body"/>
              <w:spacing w:after="0" w:line="240" w:lineRule="auto"/>
            </w:pPr>
            <w:r>
              <w:rPr>
                <w:rFonts w:ascii="Times New Roman" w:hAnsi="Times New Roman"/>
              </w:rPr>
              <w:t>Maize</w:t>
            </w:r>
          </w:p>
        </w:tc>
        <w:tc>
          <w:tcPr>
            <w:tcW w:w="1484"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58C600E4" w14:textId="77777777" w:rsidR="00BC2A6D" w:rsidRDefault="00000000">
            <w:pPr>
              <w:pStyle w:val="Body"/>
              <w:spacing w:after="0" w:line="240" w:lineRule="auto"/>
            </w:pPr>
            <w:r>
              <w:rPr>
                <w:rFonts w:ascii="Times New Roman" w:hAnsi="Times New Roman"/>
              </w:rPr>
              <w:t>Cassava</w:t>
            </w:r>
          </w:p>
        </w:tc>
        <w:tc>
          <w:tcPr>
            <w:tcW w:w="1445"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3F1D07E4"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57C4803B" w14:textId="77777777" w:rsidR="00BC2A6D" w:rsidRDefault="00000000">
            <w:pPr>
              <w:pStyle w:val="Body"/>
              <w:spacing w:after="0" w:line="240" w:lineRule="auto"/>
            </w:pPr>
            <w:r>
              <w:rPr>
                <w:rFonts w:ascii="Times New Roman" w:hAnsi="Times New Roman"/>
              </w:rPr>
              <w:t>Onion</w:t>
            </w:r>
          </w:p>
        </w:tc>
        <w:tc>
          <w:tcPr>
            <w:tcW w:w="1625"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8783F70"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6320793C"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3CA182B" w14:textId="77777777" w:rsidR="00BC2A6D" w:rsidRDefault="00000000">
            <w:pPr>
              <w:pStyle w:val="Body"/>
              <w:spacing w:after="0" w:line="240" w:lineRule="auto"/>
            </w:pPr>
            <w:r>
              <w:rPr>
                <w:rFonts w:ascii="Times New Roman" w:hAnsi="Times New Roman"/>
              </w:rPr>
              <w:t>Maize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B0E184A" w14:textId="77777777" w:rsidR="00BC2A6D" w:rsidRDefault="00000000">
            <w:pPr>
              <w:pStyle w:val="Body"/>
              <w:spacing w:after="0" w:line="240" w:lineRule="auto"/>
            </w:pPr>
            <w:r>
              <w:rPr>
                <w:rFonts w:ascii="Times New Roman" w:hAnsi="Times New Roman"/>
              </w:rPr>
              <w:t>Maize</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6C6B396" w14:textId="77777777" w:rsidR="00BC2A6D" w:rsidRDefault="00000000">
            <w:pPr>
              <w:pStyle w:val="Body"/>
              <w:spacing w:after="0" w:line="240" w:lineRule="auto"/>
            </w:pPr>
            <w:r>
              <w:rPr>
                <w:rFonts w:ascii="Times New Roman" w:hAnsi="Times New Roman"/>
              </w:rPr>
              <w:t>Cauliflower</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FE46020"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7489547" w14:textId="77777777" w:rsidR="00BC2A6D" w:rsidRDefault="00000000">
            <w:pPr>
              <w:pStyle w:val="Body"/>
              <w:spacing w:after="0" w:line="240" w:lineRule="auto"/>
            </w:pPr>
            <w:r>
              <w:rPr>
                <w:rFonts w:ascii="Times New Roman" w:hAnsi="Times New Roman"/>
              </w:rPr>
              <w:t>Pea</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06937C9E"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181E127C"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FD7E9B5" w14:textId="77777777" w:rsidR="00BC2A6D" w:rsidRDefault="00000000">
            <w:pPr>
              <w:pStyle w:val="Body"/>
              <w:spacing w:after="0" w:line="240" w:lineRule="auto"/>
            </w:pPr>
            <w:r>
              <w:rPr>
                <w:rFonts w:ascii="Times New Roman" w:hAnsi="Times New Roman"/>
              </w:rPr>
              <w:t>Sweet corn</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92DA8B5" w14:textId="77777777" w:rsidR="00BC2A6D" w:rsidRDefault="00000000">
            <w:pPr>
              <w:pStyle w:val="Body"/>
              <w:spacing w:after="0" w:line="240" w:lineRule="auto"/>
            </w:pPr>
            <w:r>
              <w:rPr>
                <w:rFonts w:ascii="Times New Roman" w:hAnsi="Times New Roman"/>
              </w:rPr>
              <w:t>Maize</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77AE0D94" w14:textId="77777777" w:rsidR="00BC2A6D" w:rsidRDefault="00000000">
            <w:pPr>
              <w:pStyle w:val="Body"/>
              <w:spacing w:after="0" w:line="240" w:lineRule="auto"/>
            </w:pPr>
            <w:r>
              <w:rPr>
                <w:rFonts w:ascii="Times New Roman" w:hAnsi="Times New Roman"/>
              </w:rPr>
              <w:t>Celery</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6B4BE13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590B33DF" w14:textId="77777777" w:rsidR="00BC2A6D" w:rsidRDefault="00000000">
            <w:pPr>
              <w:pStyle w:val="Body"/>
              <w:spacing w:after="0" w:line="240" w:lineRule="auto"/>
            </w:pPr>
            <w:r>
              <w:rPr>
                <w:rFonts w:ascii="Times New Roman" w:hAnsi="Times New Roman"/>
              </w:rPr>
              <w:t>Peach</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1DD1E3D5"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6F57A020"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54B7EA0D" w14:textId="77777777" w:rsidR="00BC2A6D" w:rsidRDefault="00000000">
            <w:pPr>
              <w:pStyle w:val="Body"/>
              <w:spacing w:after="0" w:line="240" w:lineRule="auto"/>
            </w:pPr>
            <w:r>
              <w:rPr>
                <w:rFonts w:ascii="Times New Roman" w:hAnsi="Times New Roman"/>
              </w:rPr>
              <w:t>Durum wheat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2E9AC7BF" w14:textId="77777777" w:rsidR="00BC2A6D" w:rsidRDefault="00000000">
            <w:pPr>
              <w:pStyle w:val="Body"/>
              <w:spacing w:after="0" w:line="240" w:lineRule="auto"/>
            </w:pPr>
            <w:r>
              <w:rPr>
                <w:rFonts w:ascii="Times New Roman" w:hAnsi="Times New Roman"/>
              </w:rPr>
              <w:t>Wheat</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02EDA7C2" w14:textId="77777777" w:rsidR="00BC2A6D" w:rsidRDefault="00000000">
            <w:pPr>
              <w:pStyle w:val="Body"/>
              <w:spacing w:after="0" w:line="240" w:lineRule="auto"/>
            </w:pPr>
            <w:r>
              <w:rPr>
                <w:rFonts w:ascii="Times New Roman" w:hAnsi="Times New Roman"/>
              </w:rPr>
              <w:t>Chickpea</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724967E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52341F8" w14:textId="77777777" w:rsidR="00BC2A6D" w:rsidRDefault="00000000">
            <w:pPr>
              <w:pStyle w:val="Body"/>
              <w:spacing w:after="0" w:line="240" w:lineRule="auto"/>
            </w:pPr>
            <w:r>
              <w:rPr>
                <w:rFonts w:ascii="Times New Roman" w:hAnsi="Times New Roman"/>
              </w:rPr>
              <w:t>Pepper</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34A66AB0"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68630002"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FA6E2B0" w14:textId="77777777" w:rsidR="00BC2A6D" w:rsidRDefault="00000000">
            <w:pPr>
              <w:pStyle w:val="Body"/>
              <w:spacing w:after="0" w:line="240" w:lineRule="auto"/>
            </w:pPr>
            <w:r>
              <w:rPr>
                <w:rFonts w:ascii="Times New Roman" w:hAnsi="Times New Roman"/>
              </w:rPr>
              <w:t>Spelt wheat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053458B" w14:textId="77777777" w:rsidR="00BC2A6D" w:rsidRDefault="00000000">
            <w:pPr>
              <w:pStyle w:val="Body"/>
              <w:spacing w:after="0" w:line="240" w:lineRule="auto"/>
            </w:pPr>
            <w:r>
              <w:rPr>
                <w:rFonts w:ascii="Times New Roman" w:hAnsi="Times New Roman"/>
              </w:rPr>
              <w:t>Wheat</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659FA389" w14:textId="77777777" w:rsidR="00BC2A6D" w:rsidRDefault="00000000">
            <w:pPr>
              <w:pStyle w:val="Body"/>
              <w:spacing w:after="0" w:line="240" w:lineRule="auto"/>
            </w:pPr>
            <w:r>
              <w:rPr>
                <w:rFonts w:ascii="Times New Roman" w:hAnsi="Times New Roman"/>
              </w:rPr>
              <w:t>Chilli</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3851A7E5"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2FA2CFF6" w14:textId="77777777" w:rsidR="00BC2A6D" w:rsidRDefault="00000000">
            <w:pPr>
              <w:pStyle w:val="Body"/>
              <w:spacing w:after="0" w:line="240" w:lineRule="auto"/>
            </w:pPr>
            <w:r>
              <w:rPr>
                <w:rFonts w:ascii="Times New Roman" w:hAnsi="Times New Roman"/>
              </w:rPr>
              <w:t>Physic nut</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1410ED0E"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4ACE3447"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9044955" w14:textId="77777777" w:rsidR="00BC2A6D" w:rsidRDefault="00000000">
            <w:pPr>
              <w:pStyle w:val="Body"/>
              <w:spacing w:after="0" w:line="240" w:lineRule="auto"/>
            </w:pPr>
            <w:r>
              <w:rPr>
                <w:rFonts w:ascii="Times New Roman" w:hAnsi="Times New Roman"/>
              </w:rPr>
              <w:t>Wheat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747E1E56" w14:textId="77777777" w:rsidR="00BC2A6D" w:rsidRDefault="00000000">
            <w:pPr>
              <w:pStyle w:val="Body"/>
              <w:spacing w:after="0" w:line="240" w:lineRule="auto"/>
            </w:pPr>
            <w:r>
              <w:rPr>
                <w:rFonts w:ascii="Times New Roman" w:hAnsi="Times New Roman"/>
              </w:rPr>
              <w:t>Wheat</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255ECEFE" w14:textId="77777777" w:rsidR="00BC2A6D" w:rsidRDefault="00000000">
            <w:pPr>
              <w:pStyle w:val="Body"/>
              <w:spacing w:after="0" w:line="240" w:lineRule="auto"/>
            </w:pPr>
            <w:r>
              <w:rPr>
                <w:rFonts w:ascii="Times New Roman" w:hAnsi="Times New Roman"/>
              </w:rPr>
              <w:t>Cucumber</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137A297"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E655D2A" w14:textId="77777777" w:rsidR="00BC2A6D" w:rsidRDefault="00000000">
            <w:pPr>
              <w:pStyle w:val="Body"/>
              <w:spacing w:after="0" w:line="240" w:lineRule="auto"/>
            </w:pPr>
            <w:r>
              <w:rPr>
                <w:rFonts w:ascii="Times New Roman" w:hAnsi="Times New Roman"/>
              </w:rPr>
              <w:t>Pigeon pea</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61B3D3B8"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7F0DA14F"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3B859FD" w14:textId="77777777" w:rsidR="00BC2A6D" w:rsidRDefault="00000000">
            <w:pPr>
              <w:pStyle w:val="Body"/>
              <w:spacing w:after="0" w:line="240" w:lineRule="auto"/>
            </w:pPr>
            <w:r>
              <w:rPr>
                <w:rFonts w:ascii="Times New Roman" w:hAnsi="Times New Roman"/>
              </w:rPr>
              <w:t>Rice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26122B7" w14:textId="77777777" w:rsidR="00BC2A6D" w:rsidRDefault="00000000">
            <w:pPr>
              <w:pStyle w:val="Body"/>
              <w:spacing w:after="0" w:line="240" w:lineRule="auto"/>
            </w:pPr>
            <w:r>
              <w:rPr>
                <w:rFonts w:ascii="Times New Roman" w:hAnsi="Times New Roman"/>
              </w:rPr>
              <w:t>Rice</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537D9E38" w14:textId="77777777" w:rsidR="00BC2A6D" w:rsidRDefault="00000000">
            <w:pPr>
              <w:pStyle w:val="Body"/>
              <w:spacing w:after="0" w:line="240" w:lineRule="auto"/>
            </w:pPr>
            <w:r>
              <w:rPr>
                <w:rFonts w:ascii="Times New Roman" w:hAnsi="Times New Roman"/>
              </w:rPr>
              <w:t>Choy sum</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152BBF16"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A4E6251" w14:textId="77777777" w:rsidR="00BC2A6D" w:rsidRDefault="00000000">
            <w:pPr>
              <w:pStyle w:val="Body"/>
              <w:spacing w:after="0" w:line="240" w:lineRule="auto"/>
            </w:pPr>
            <w:r>
              <w:rPr>
                <w:rFonts w:ascii="Times New Roman" w:hAnsi="Times New Roman"/>
              </w:rPr>
              <w:t>Pigweed</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3C1EA786"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17189622"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48F2478A" w14:textId="77777777" w:rsidR="00BC2A6D" w:rsidRDefault="00000000">
            <w:pPr>
              <w:pStyle w:val="Body"/>
              <w:spacing w:after="0" w:line="240" w:lineRule="auto"/>
            </w:pPr>
            <w:r>
              <w:rPr>
                <w:rFonts w:ascii="Times New Roman" w:hAnsi="Times New Roman"/>
              </w:rPr>
              <w:t>Soybean</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1AF4C15" w14:textId="77777777" w:rsidR="00BC2A6D" w:rsidRDefault="00000000">
            <w:pPr>
              <w:pStyle w:val="Body"/>
              <w:spacing w:after="0" w:line="240" w:lineRule="auto"/>
            </w:pPr>
            <w:r>
              <w:rPr>
                <w:rFonts w:ascii="Times New Roman" w:hAnsi="Times New Roman"/>
              </w:rPr>
              <w:t>Soybean</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0D067808" w14:textId="77777777" w:rsidR="00BC2A6D" w:rsidRDefault="00000000">
            <w:pPr>
              <w:pStyle w:val="Body"/>
              <w:spacing w:after="0" w:line="240" w:lineRule="auto"/>
            </w:pPr>
            <w:r>
              <w:rPr>
                <w:rFonts w:ascii="Times New Roman" w:hAnsi="Times New Roman"/>
              </w:rPr>
              <w:t>Citrus</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C377970"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73A8FD0" w14:textId="77777777" w:rsidR="00BC2A6D" w:rsidRDefault="00000000">
            <w:pPr>
              <w:pStyle w:val="Body"/>
              <w:spacing w:after="0" w:line="240" w:lineRule="auto"/>
            </w:pPr>
            <w:r>
              <w:rPr>
                <w:rFonts w:ascii="Times New Roman" w:hAnsi="Times New Roman"/>
              </w:rPr>
              <w:t>Safflower</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6CABD508"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3F79B4F0"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25446481" w14:textId="77777777" w:rsidR="00BC2A6D" w:rsidRDefault="00000000">
            <w:pPr>
              <w:pStyle w:val="Body"/>
              <w:spacing w:after="0" w:line="240" w:lineRule="auto"/>
            </w:pPr>
            <w:r>
              <w:rPr>
                <w:rFonts w:ascii="Times New Roman" w:hAnsi="Times New Roman"/>
              </w:rPr>
              <w:t>Barley</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BD06DA6"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160B4968" w14:textId="77777777" w:rsidR="00BC2A6D" w:rsidRDefault="00000000">
            <w:pPr>
              <w:pStyle w:val="Body"/>
              <w:spacing w:after="0" w:line="240" w:lineRule="auto"/>
            </w:pPr>
            <w:r>
              <w:rPr>
                <w:rFonts w:ascii="Times New Roman" w:hAnsi="Times New Roman"/>
              </w:rPr>
              <w:t>Clover</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A0BD4ED"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2F46023" w14:textId="77777777" w:rsidR="00BC2A6D" w:rsidRDefault="00000000">
            <w:pPr>
              <w:pStyle w:val="Body"/>
              <w:spacing w:after="0" w:line="240" w:lineRule="auto"/>
            </w:pPr>
            <w:r>
              <w:rPr>
                <w:rFonts w:ascii="Times New Roman" w:hAnsi="Times New Roman"/>
              </w:rPr>
              <w:t>Satsuma mandarin</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341908F7"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364D7B74"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B1F206C" w14:textId="77777777" w:rsidR="00BC2A6D" w:rsidRDefault="00000000">
            <w:pPr>
              <w:pStyle w:val="Body"/>
              <w:spacing w:after="0" w:line="240" w:lineRule="auto"/>
            </w:pPr>
            <w:r>
              <w:rPr>
                <w:rFonts w:ascii="Times New Roman" w:hAnsi="Times New Roman"/>
              </w:rPr>
              <w:t>buckwheat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42BA2C8"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09109A71" w14:textId="77777777" w:rsidR="00BC2A6D" w:rsidRDefault="00000000">
            <w:pPr>
              <w:pStyle w:val="Body"/>
              <w:spacing w:after="0" w:line="240" w:lineRule="auto"/>
            </w:pPr>
            <w:r>
              <w:rPr>
                <w:rFonts w:ascii="Times New Roman" w:hAnsi="Times New Roman"/>
              </w:rPr>
              <w:t>Cocoyam</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D0194FA"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20BD0FF1" w14:textId="77777777" w:rsidR="00BC2A6D" w:rsidRDefault="00000000">
            <w:pPr>
              <w:pStyle w:val="Body"/>
              <w:spacing w:after="0" w:line="240" w:lineRule="auto"/>
            </w:pPr>
            <w:r>
              <w:rPr>
                <w:rFonts w:ascii="Times New Roman" w:hAnsi="Times New Roman"/>
              </w:rPr>
              <w:t>Sesame</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10195138"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1EA1713F"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5585EE20" w14:textId="77777777" w:rsidR="00BC2A6D" w:rsidRDefault="00000000">
            <w:pPr>
              <w:pStyle w:val="Body"/>
              <w:spacing w:after="0" w:line="240" w:lineRule="auto"/>
            </w:pPr>
            <w:r>
              <w:rPr>
                <w:rFonts w:ascii="Times New Roman" w:hAnsi="Times New Roman"/>
              </w:rPr>
              <w:t>Millet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0E0D2B6D"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2A47BA5C" w14:textId="77777777" w:rsidR="00BC2A6D" w:rsidRDefault="00000000">
            <w:pPr>
              <w:pStyle w:val="Body"/>
              <w:spacing w:after="0" w:line="240" w:lineRule="auto"/>
            </w:pPr>
            <w:r>
              <w:rPr>
                <w:rFonts w:ascii="Times New Roman" w:hAnsi="Times New Roman"/>
              </w:rPr>
              <w:t>Coriander</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1CC51305"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F77781D" w14:textId="77777777" w:rsidR="00BC2A6D" w:rsidRDefault="00000000">
            <w:pPr>
              <w:pStyle w:val="Body"/>
              <w:spacing w:after="0" w:line="240" w:lineRule="auto"/>
            </w:pPr>
            <w:r>
              <w:rPr>
                <w:rFonts w:ascii="Times New Roman" w:hAnsi="Times New Roman"/>
              </w:rPr>
              <w:t>Spinach</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3547CD72"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65389840"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28247C4" w14:textId="77777777" w:rsidR="00BC2A6D" w:rsidRDefault="00000000">
            <w:pPr>
              <w:pStyle w:val="Body"/>
              <w:spacing w:after="0" w:line="240" w:lineRule="auto"/>
            </w:pPr>
            <w:r>
              <w:rPr>
                <w:rFonts w:ascii="Times New Roman" w:hAnsi="Times New Roman"/>
              </w:rPr>
              <w:t>millet, finger</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B0807CA"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0E1FA534" w14:textId="77777777" w:rsidR="00BC2A6D" w:rsidRDefault="00000000">
            <w:pPr>
              <w:pStyle w:val="Body"/>
              <w:spacing w:after="0" w:line="240" w:lineRule="auto"/>
            </w:pPr>
            <w:r>
              <w:rPr>
                <w:rFonts w:ascii="Times New Roman" w:hAnsi="Times New Roman"/>
              </w:rPr>
              <w:t>Cowpea</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6F11870B"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E7691F5" w14:textId="77777777" w:rsidR="00BC2A6D" w:rsidRDefault="00000000">
            <w:pPr>
              <w:pStyle w:val="Body"/>
              <w:spacing w:after="0" w:line="240" w:lineRule="auto"/>
            </w:pPr>
            <w:r>
              <w:rPr>
                <w:rFonts w:ascii="Times New Roman" w:hAnsi="Times New Roman"/>
              </w:rPr>
              <w:t>Squash</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75CA1946"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56E1AC70"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4735B8F9" w14:textId="77777777" w:rsidR="00BC2A6D" w:rsidRDefault="00000000">
            <w:pPr>
              <w:pStyle w:val="Body"/>
              <w:spacing w:after="0" w:line="240" w:lineRule="auto"/>
            </w:pPr>
            <w:r>
              <w:rPr>
                <w:rFonts w:ascii="Times New Roman" w:hAnsi="Times New Roman"/>
              </w:rPr>
              <w:t>Oat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73060D9C"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A44FBC1" w14:textId="77777777" w:rsidR="00BC2A6D" w:rsidRDefault="00000000">
            <w:pPr>
              <w:pStyle w:val="Body"/>
              <w:spacing w:after="0" w:line="240" w:lineRule="auto"/>
            </w:pPr>
            <w:r>
              <w:rPr>
                <w:rFonts w:ascii="Times New Roman" w:hAnsi="Times New Roman"/>
              </w:rPr>
              <w:t>Dandelion</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37AEC1C"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2DC0D593" w14:textId="77777777" w:rsidR="00BC2A6D" w:rsidRDefault="00000000">
            <w:pPr>
              <w:pStyle w:val="Body"/>
              <w:spacing w:after="0" w:line="240" w:lineRule="auto"/>
            </w:pPr>
            <w:r>
              <w:rPr>
                <w:rFonts w:ascii="Times New Roman" w:hAnsi="Times New Roman"/>
              </w:rPr>
              <w:t>Strawberry</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59CE355A"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1BCA5831"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2AA1305C" w14:textId="77777777" w:rsidR="00BC2A6D" w:rsidRDefault="00000000">
            <w:pPr>
              <w:pStyle w:val="Body"/>
              <w:spacing w:after="0" w:line="240" w:lineRule="auto"/>
            </w:pPr>
            <w:r>
              <w:rPr>
                <w:rFonts w:ascii="Times New Roman" w:hAnsi="Times New Roman"/>
              </w:rPr>
              <w:t>Pearl millet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04C913F0"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310EA1D9" w14:textId="77777777" w:rsidR="00BC2A6D" w:rsidRDefault="00000000">
            <w:pPr>
              <w:pStyle w:val="Body"/>
              <w:spacing w:after="0" w:line="240" w:lineRule="auto"/>
            </w:pPr>
            <w:r>
              <w:rPr>
                <w:rFonts w:ascii="Times New Roman" w:hAnsi="Times New Roman"/>
              </w:rPr>
              <w:t>Dill</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1963DC7F"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270EC5BC" w14:textId="77777777" w:rsidR="00BC2A6D" w:rsidRDefault="00000000">
            <w:pPr>
              <w:pStyle w:val="Body"/>
              <w:spacing w:after="0" w:line="240" w:lineRule="auto"/>
            </w:pPr>
            <w:r>
              <w:rPr>
                <w:rFonts w:ascii="Times New Roman" w:hAnsi="Times New Roman"/>
              </w:rPr>
              <w:t>Sugar beet</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7CC48FB7"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1C863BC2"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CA61B41" w14:textId="77777777" w:rsidR="00BC2A6D" w:rsidRDefault="00000000">
            <w:pPr>
              <w:pStyle w:val="Body"/>
              <w:spacing w:after="0" w:line="240" w:lineRule="auto"/>
            </w:pPr>
            <w:r>
              <w:rPr>
                <w:rFonts w:ascii="Times New Roman" w:hAnsi="Times New Roman"/>
              </w:rPr>
              <w:t>Rye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B706315"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3195E7A2" w14:textId="77777777" w:rsidR="00BC2A6D" w:rsidRDefault="00000000">
            <w:pPr>
              <w:pStyle w:val="Body"/>
              <w:spacing w:after="0" w:line="240" w:lineRule="auto"/>
            </w:pPr>
            <w:r>
              <w:rPr>
                <w:rFonts w:ascii="Times New Roman" w:hAnsi="Times New Roman"/>
              </w:rPr>
              <w:t>Eggplant</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EE404DF"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6C9BC2BD" w14:textId="77777777" w:rsidR="00BC2A6D" w:rsidRDefault="00000000">
            <w:pPr>
              <w:pStyle w:val="Body"/>
              <w:spacing w:after="0" w:line="240" w:lineRule="auto"/>
            </w:pPr>
            <w:r>
              <w:rPr>
                <w:rFonts w:ascii="Times New Roman" w:hAnsi="Times New Roman"/>
              </w:rPr>
              <w:t>Sugarcane</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2E8AC3CC"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5E3BCFCB"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4AF425D" w14:textId="77777777" w:rsidR="00BC2A6D" w:rsidRDefault="00000000">
            <w:pPr>
              <w:pStyle w:val="Body"/>
              <w:spacing w:after="0" w:line="240" w:lineRule="auto"/>
            </w:pPr>
            <w:r>
              <w:rPr>
                <w:rFonts w:ascii="Times New Roman" w:hAnsi="Times New Roman"/>
              </w:rPr>
              <w:t>Sorghum</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291CF2A"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1EC54EE2" w14:textId="77777777" w:rsidR="00BC2A6D" w:rsidRDefault="00000000">
            <w:pPr>
              <w:pStyle w:val="Body"/>
              <w:spacing w:after="0" w:line="240" w:lineRule="auto"/>
            </w:pPr>
            <w:r>
              <w:rPr>
                <w:rFonts w:ascii="Times New Roman" w:hAnsi="Times New Roman"/>
              </w:rPr>
              <w:t>Endive</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126FF8AA"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6CA34CF3" w14:textId="77777777" w:rsidR="00BC2A6D" w:rsidRDefault="00000000">
            <w:pPr>
              <w:pStyle w:val="Body"/>
              <w:spacing w:after="0" w:line="240" w:lineRule="auto"/>
            </w:pPr>
            <w:r>
              <w:rPr>
                <w:rFonts w:ascii="Times New Roman" w:hAnsi="Times New Roman"/>
              </w:rPr>
              <w:t>Sunflower</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4FCBF326"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0E1AFE23"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79F9A87" w14:textId="77777777" w:rsidR="00BC2A6D" w:rsidRDefault="00000000">
            <w:pPr>
              <w:pStyle w:val="Body"/>
              <w:spacing w:after="0" w:line="240" w:lineRule="auto"/>
            </w:pPr>
            <w:r>
              <w:rPr>
                <w:rFonts w:ascii="Times New Roman" w:hAnsi="Times New Roman"/>
              </w:rPr>
              <w:t>Tef</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00F80995"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694591E" w14:textId="77777777" w:rsidR="00BC2A6D" w:rsidRDefault="00000000">
            <w:pPr>
              <w:pStyle w:val="Body"/>
              <w:spacing w:after="0" w:line="240" w:lineRule="auto"/>
            </w:pPr>
            <w:r>
              <w:rPr>
                <w:rFonts w:ascii="Times New Roman" w:hAnsi="Times New Roman"/>
              </w:rPr>
              <w:t>Fennel</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42BB26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5B6740C7" w14:textId="77777777" w:rsidR="00BC2A6D" w:rsidRDefault="00000000">
            <w:pPr>
              <w:pStyle w:val="Body"/>
              <w:spacing w:after="0" w:line="240" w:lineRule="auto"/>
            </w:pPr>
            <w:r>
              <w:rPr>
                <w:rFonts w:ascii="Times New Roman" w:hAnsi="Times New Roman"/>
              </w:rPr>
              <w:t>Sweet pepper</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232CF0B4"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787CB779"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C9448E6" w14:textId="77777777" w:rsidR="00BC2A6D" w:rsidRDefault="00000000">
            <w:pPr>
              <w:pStyle w:val="Body"/>
              <w:spacing w:after="0" w:line="240" w:lineRule="auto"/>
            </w:pPr>
            <w:r>
              <w:rPr>
                <w:rFonts w:ascii="Times New Roman" w:hAnsi="Times New Roman"/>
              </w:rPr>
              <w:t>Triticale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FBD84A3" w14:textId="77777777" w:rsidR="00BC2A6D" w:rsidRDefault="00000000">
            <w:pPr>
              <w:pStyle w:val="Body"/>
              <w:spacing w:after="0" w:line="240" w:lineRule="auto"/>
            </w:pPr>
            <w:r>
              <w:rPr>
                <w:rFonts w:ascii="Times New Roman" w:hAnsi="Times New Roman"/>
              </w:rPr>
              <w:t>Other cereal</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49615F7" w14:textId="77777777" w:rsidR="00BC2A6D" w:rsidRDefault="00000000">
            <w:pPr>
              <w:pStyle w:val="Body"/>
              <w:spacing w:after="0" w:line="240" w:lineRule="auto"/>
            </w:pPr>
            <w:r>
              <w:rPr>
                <w:rFonts w:ascii="Times New Roman" w:hAnsi="Times New Roman"/>
              </w:rPr>
              <w:t>Fenugreek</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CD579C6"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34AD80FD" w14:textId="77777777" w:rsidR="00BC2A6D" w:rsidRDefault="00000000">
            <w:pPr>
              <w:pStyle w:val="Body"/>
              <w:spacing w:after="0" w:line="240" w:lineRule="auto"/>
            </w:pPr>
            <w:r>
              <w:rPr>
                <w:rFonts w:ascii="Times New Roman" w:hAnsi="Times New Roman"/>
              </w:rPr>
              <w:t>Sweet potato</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7F3A3E80"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75DF371F"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3978A47" w14:textId="77777777" w:rsidR="00BC2A6D" w:rsidRDefault="00000000">
            <w:pPr>
              <w:pStyle w:val="Body"/>
              <w:spacing w:after="0" w:line="240" w:lineRule="auto"/>
            </w:pPr>
            <w:r>
              <w:rPr>
                <w:rFonts w:ascii="Times New Roman" w:hAnsi="Times New Roman"/>
              </w:rPr>
              <w:t>Coffee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47A0A03B" w14:textId="77777777" w:rsidR="00BC2A6D" w:rsidRDefault="00000000">
            <w:pPr>
              <w:pStyle w:val="Body"/>
              <w:spacing w:after="0" w:line="240" w:lineRule="auto"/>
            </w:pPr>
            <w:r>
              <w:rPr>
                <w:rFonts w:ascii="Times New Roman" w:hAnsi="Times New Roman"/>
              </w:rPr>
              <w:t>Cash crop</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782FDA7C" w14:textId="77777777" w:rsidR="00BC2A6D" w:rsidRDefault="00000000">
            <w:pPr>
              <w:pStyle w:val="Body"/>
              <w:spacing w:after="0" w:line="240" w:lineRule="auto"/>
            </w:pPr>
            <w:r>
              <w:rPr>
                <w:rFonts w:ascii="Times New Roman" w:hAnsi="Times New Roman"/>
              </w:rPr>
              <w:t>Fig</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EDDCC31"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7DEF6B75" w14:textId="77777777" w:rsidR="00BC2A6D" w:rsidRDefault="00000000">
            <w:pPr>
              <w:pStyle w:val="Body"/>
              <w:spacing w:after="0" w:line="240" w:lineRule="auto"/>
            </w:pPr>
            <w:r>
              <w:rPr>
                <w:rFonts w:ascii="Times New Roman" w:hAnsi="Times New Roman"/>
              </w:rPr>
              <w:t>Potato</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64FA6AC7"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2E39A930"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F529082" w14:textId="77777777" w:rsidR="00BC2A6D" w:rsidRDefault="00000000">
            <w:pPr>
              <w:pStyle w:val="Body"/>
              <w:spacing w:after="0" w:line="240" w:lineRule="auto"/>
            </w:pPr>
            <w:r>
              <w:rPr>
                <w:rFonts w:ascii="Times New Roman" w:hAnsi="Times New Roman"/>
              </w:rPr>
              <w:t>Cotton</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6D7E8299" w14:textId="77777777" w:rsidR="00BC2A6D" w:rsidRDefault="00000000">
            <w:pPr>
              <w:pStyle w:val="Body"/>
              <w:spacing w:after="0" w:line="240" w:lineRule="auto"/>
            </w:pPr>
            <w:r>
              <w:rPr>
                <w:rFonts w:ascii="Times New Roman" w:hAnsi="Times New Roman"/>
              </w:rPr>
              <w:t>Cash crop</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29650A57" w14:textId="77777777" w:rsidR="00BC2A6D" w:rsidRDefault="00000000">
            <w:pPr>
              <w:pStyle w:val="Body"/>
              <w:spacing w:after="0" w:line="240" w:lineRule="auto"/>
            </w:pPr>
            <w:r>
              <w:rPr>
                <w:rFonts w:ascii="Times New Roman" w:hAnsi="Times New Roman"/>
              </w:rPr>
              <w:t>Flax</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244A6EAB"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56845F66" w14:textId="77777777" w:rsidR="00BC2A6D" w:rsidRDefault="00000000">
            <w:pPr>
              <w:pStyle w:val="Body"/>
              <w:spacing w:after="0" w:line="240" w:lineRule="auto"/>
            </w:pPr>
            <w:r>
              <w:rPr>
                <w:rFonts w:ascii="Times New Roman" w:hAnsi="Times New Roman"/>
              </w:rPr>
              <w:t>Pulses</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2F4CBE9F"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35D73977"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751C5E97" w14:textId="77777777" w:rsidR="00BC2A6D" w:rsidRDefault="00000000">
            <w:pPr>
              <w:pStyle w:val="Body"/>
              <w:spacing w:after="0" w:line="240" w:lineRule="auto"/>
            </w:pPr>
            <w:r>
              <w:rPr>
                <w:rFonts w:ascii="Times New Roman" w:hAnsi="Times New Roman"/>
              </w:rPr>
              <w:t>Jute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C65C3FC" w14:textId="77777777" w:rsidR="00BC2A6D" w:rsidRDefault="00000000">
            <w:pPr>
              <w:pStyle w:val="Body"/>
              <w:spacing w:after="0" w:line="240" w:lineRule="auto"/>
            </w:pPr>
            <w:r>
              <w:rPr>
                <w:rFonts w:ascii="Times New Roman" w:hAnsi="Times New Roman"/>
              </w:rPr>
              <w:t>Cash crop</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71C8193" w14:textId="77777777" w:rsidR="00BC2A6D" w:rsidRDefault="00000000">
            <w:pPr>
              <w:pStyle w:val="Body"/>
              <w:spacing w:after="0" w:line="240" w:lineRule="auto"/>
            </w:pPr>
            <w:r>
              <w:rPr>
                <w:rFonts w:ascii="Times New Roman" w:hAnsi="Times New Roman"/>
              </w:rPr>
              <w:t>Garlic</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2BA3B4E0"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25ED25C" w14:textId="77777777" w:rsidR="00BC2A6D" w:rsidRDefault="00000000">
            <w:pPr>
              <w:pStyle w:val="Body"/>
              <w:spacing w:after="0" w:line="240" w:lineRule="auto"/>
            </w:pPr>
            <w:r>
              <w:rPr>
                <w:rFonts w:ascii="Times New Roman" w:hAnsi="Times New Roman"/>
              </w:rPr>
              <w:t>pumpkin</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4AB8FD38"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531EB67F"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CC46831" w14:textId="77777777" w:rsidR="00BC2A6D" w:rsidRDefault="00000000">
            <w:pPr>
              <w:pStyle w:val="Body"/>
              <w:spacing w:after="0" w:line="240" w:lineRule="auto"/>
            </w:pPr>
            <w:r>
              <w:rPr>
                <w:rFonts w:ascii="Times New Roman" w:hAnsi="Times New Roman"/>
              </w:rPr>
              <w:t>Peanut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5DDF119" w14:textId="77777777" w:rsidR="00BC2A6D" w:rsidRDefault="00000000">
            <w:pPr>
              <w:pStyle w:val="Body"/>
              <w:spacing w:after="0" w:line="240" w:lineRule="auto"/>
            </w:pPr>
            <w:r>
              <w:rPr>
                <w:rFonts w:ascii="Times New Roman" w:hAnsi="Times New Roman"/>
              </w:rPr>
              <w:t>Cash crop</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1E7728FF" w14:textId="77777777" w:rsidR="00BC2A6D" w:rsidRDefault="00000000">
            <w:pPr>
              <w:pStyle w:val="Body"/>
              <w:spacing w:after="0" w:line="240" w:lineRule="auto"/>
            </w:pPr>
            <w:r>
              <w:rPr>
                <w:rFonts w:ascii="Times New Roman" w:hAnsi="Times New Roman"/>
              </w:rPr>
              <w:t>Grape</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C6C7B1A"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8BB84B0" w14:textId="77777777" w:rsidR="00BC2A6D" w:rsidRDefault="00000000">
            <w:pPr>
              <w:pStyle w:val="Body"/>
              <w:spacing w:after="0" w:line="240" w:lineRule="auto"/>
            </w:pPr>
            <w:r>
              <w:rPr>
                <w:rFonts w:ascii="Times New Roman" w:hAnsi="Times New Roman"/>
              </w:rPr>
              <w:t>Taro</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5CDE3186"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1505A8AC"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5C4C17A7" w14:textId="77777777" w:rsidR="00BC2A6D" w:rsidRDefault="00000000">
            <w:pPr>
              <w:pStyle w:val="Body"/>
              <w:spacing w:after="0" w:line="240" w:lineRule="auto"/>
            </w:pPr>
            <w:r>
              <w:rPr>
                <w:rFonts w:ascii="Times New Roman" w:hAnsi="Times New Roman"/>
              </w:rPr>
              <w:t>Tobacco</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6E34429F" w14:textId="77777777" w:rsidR="00BC2A6D" w:rsidRDefault="00000000">
            <w:pPr>
              <w:pStyle w:val="Body"/>
              <w:spacing w:after="0" w:line="240" w:lineRule="auto"/>
            </w:pPr>
            <w:r>
              <w:rPr>
                <w:rFonts w:ascii="Times New Roman" w:hAnsi="Times New Roman"/>
              </w:rPr>
              <w:t>Cash crop</w:t>
            </w:r>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65ECCF9C" w14:textId="77777777" w:rsidR="00BC2A6D" w:rsidRDefault="00000000">
            <w:pPr>
              <w:pStyle w:val="Body"/>
              <w:spacing w:after="0" w:line="240" w:lineRule="auto"/>
            </w:pPr>
            <w:r>
              <w:rPr>
                <w:rFonts w:ascii="Times New Roman" w:hAnsi="Times New Roman"/>
              </w:rPr>
              <w:t>Green bean</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8E58BA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292A9846" w14:textId="77777777" w:rsidR="00BC2A6D" w:rsidRDefault="00000000">
            <w:pPr>
              <w:pStyle w:val="Body"/>
              <w:spacing w:after="0" w:line="240" w:lineRule="auto"/>
            </w:pPr>
            <w:r>
              <w:rPr>
                <w:rFonts w:ascii="Times New Roman" w:hAnsi="Times New Roman"/>
              </w:rPr>
              <w:t>Tomato</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622087C6"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431A5309"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5249DFC" w14:textId="77777777" w:rsidR="00BC2A6D" w:rsidRDefault="00000000">
            <w:pPr>
              <w:pStyle w:val="Body"/>
              <w:spacing w:after="0" w:line="240" w:lineRule="auto"/>
            </w:pPr>
            <w:r>
              <w:rPr>
                <w:rFonts w:ascii="Times New Roman" w:hAnsi="Times New Roman"/>
              </w:rPr>
              <w:t>African eggplant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8CD9BAC"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2D9E821" w14:textId="77777777" w:rsidR="00BC2A6D" w:rsidRDefault="00000000">
            <w:pPr>
              <w:pStyle w:val="Body"/>
              <w:spacing w:after="0" w:line="240" w:lineRule="auto"/>
            </w:pPr>
            <w:r>
              <w:rPr>
                <w:rFonts w:ascii="Times New Roman" w:hAnsi="Times New Roman"/>
              </w:rPr>
              <w:t>Hazelnut</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3CAB213D"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C27068B" w14:textId="77777777" w:rsidR="00BC2A6D" w:rsidRDefault="00000000">
            <w:pPr>
              <w:pStyle w:val="Body"/>
              <w:spacing w:after="0" w:line="240" w:lineRule="auto"/>
            </w:pPr>
            <w:r>
              <w:rPr>
                <w:rFonts w:ascii="Times New Roman" w:hAnsi="Times New Roman"/>
              </w:rPr>
              <w:t>Turmeric</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5032ACC1"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5D6DA4A1" w14:textId="77777777">
        <w:trPr>
          <w:trHeight w:val="49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63F061D3" w14:textId="77777777" w:rsidR="00BC2A6D" w:rsidRDefault="00000000">
            <w:pPr>
              <w:pStyle w:val="Body"/>
              <w:spacing w:after="0" w:line="240" w:lineRule="auto"/>
            </w:pPr>
            <w:r>
              <w:rPr>
                <w:rFonts w:ascii="Times New Roman" w:hAnsi="Times New Roman"/>
              </w:rPr>
              <w:t>Alfalfa</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7E5C887"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654A9398" w14:textId="77777777" w:rsidR="00BC2A6D" w:rsidRDefault="00000000">
            <w:pPr>
              <w:pStyle w:val="Body"/>
              <w:spacing w:after="0" w:line="240" w:lineRule="auto"/>
            </w:pPr>
            <w:r>
              <w:rPr>
                <w:rFonts w:ascii="Times New Roman" w:hAnsi="Times New Roman"/>
              </w:rPr>
              <w:t>Japanese spinach</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790D2307"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805CA91" w14:textId="77777777" w:rsidR="00BC2A6D" w:rsidRDefault="00000000">
            <w:pPr>
              <w:pStyle w:val="Body"/>
              <w:spacing w:after="0" w:line="240" w:lineRule="auto"/>
            </w:pPr>
            <w:r>
              <w:rPr>
                <w:rFonts w:ascii="Times New Roman" w:hAnsi="Times New Roman"/>
              </w:rPr>
              <w:t>Turnip</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6138DC70"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3478CBCC"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52519C90" w14:textId="77777777" w:rsidR="00BC2A6D" w:rsidRDefault="00000000">
            <w:pPr>
              <w:pStyle w:val="Body"/>
              <w:spacing w:after="0" w:line="240" w:lineRule="auto"/>
            </w:pPr>
            <w:r>
              <w:rPr>
                <w:rFonts w:ascii="Times New Roman" w:hAnsi="Times New Roman"/>
              </w:rPr>
              <w:t>Apple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FF0259E"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5ADFE80D" w14:textId="77777777" w:rsidR="00BC2A6D" w:rsidRDefault="00000000">
            <w:pPr>
              <w:pStyle w:val="Body"/>
              <w:spacing w:after="0" w:line="240" w:lineRule="auto"/>
            </w:pPr>
            <w:r>
              <w:rPr>
                <w:rFonts w:ascii="Times New Roman" w:hAnsi="Times New Roman"/>
              </w:rPr>
              <w:t>Kidney bean</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AD629C4"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650D2562" w14:textId="77777777" w:rsidR="00BC2A6D" w:rsidRDefault="00000000">
            <w:pPr>
              <w:pStyle w:val="Body"/>
              <w:spacing w:after="0" w:line="240" w:lineRule="auto"/>
            </w:pPr>
            <w:r>
              <w:rPr>
                <w:rFonts w:ascii="Times New Roman" w:hAnsi="Times New Roman"/>
              </w:rPr>
              <w:t>Vetch</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446010FE"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3D803887"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192F1DB0" w14:textId="77777777" w:rsidR="00BC2A6D" w:rsidRDefault="00000000">
            <w:pPr>
              <w:pStyle w:val="Body"/>
              <w:spacing w:after="0" w:line="240" w:lineRule="auto"/>
            </w:pPr>
            <w:r>
              <w:rPr>
                <w:rFonts w:ascii="Times New Roman" w:hAnsi="Times New Roman"/>
              </w:rPr>
              <w:t>Apricot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F92B4D7"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7A307604" w14:textId="77777777" w:rsidR="00BC2A6D" w:rsidRDefault="00000000">
            <w:pPr>
              <w:pStyle w:val="Body"/>
              <w:spacing w:after="0" w:line="240" w:lineRule="auto"/>
            </w:pPr>
            <w:r>
              <w:rPr>
                <w:rFonts w:ascii="Times New Roman" w:hAnsi="Times New Roman"/>
              </w:rPr>
              <w:t>Kiwifruit</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302C7675"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34C93BD9" w14:textId="77777777" w:rsidR="00BC2A6D" w:rsidRDefault="00000000">
            <w:pPr>
              <w:pStyle w:val="Body"/>
              <w:spacing w:after="0" w:line="240" w:lineRule="auto"/>
            </w:pPr>
            <w:r>
              <w:rPr>
                <w:rFonts w:ascii="Times New Roman" w:hAnsi="Times New Roman"/>
              </w:rPr>
              <w:t>Vineyard</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2709C967"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2F7BEA7E"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7B057126" w14:textId="77777777" w:rsidR="00BC2A6D" w:rsidRDefault="00000000">
            <w:pPr>
              <w:pStyle w:val="Body"/>
              <w:spacing w:after="0" w:line="240" w:lineRule="auto"/>
            </w:pPr>
            <w:r>
              <w:rPr>
                <w:rFonts w:ascii="Times New Roman" w:hAnsi="Times New Roman"/>
              </w:rPr>
              <w:lastRenderedPageBreak/>
              <w:t>Banana</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1AD2C468"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22C5782A" w14:textId="77777777" w:rsidR="00BC2A6D" w:rsidRDefault="00000000">
            <w:pPr>
              <w:pStyle w:val="Body"/>
              <w:spacing w:after="0" w:line="240" w:lineRule="auto"/>
            </w:pPr>
            <w:r>
              <w:rPr>
                <w:rFonts w:ascii="Times New Roman" w:hAnsi="Times New Roman"/>
              </w:rPr>
              <w:t>Lentil</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0C9FA77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63E77F21" w14:textId="77777777" w:rsidR="00BC2A6D" w:rsidRDefault="00000000">
            <w:pPr>
              <w:pStyle w:val="Body"/>
              <w:spacing w:after="0" w:line="240" w:lineRule="auto"/>
            </w:pPr>
            <w:r>
              <w:rPr>
                <w:rFonts w:ascii="Times New Roman" w:hAnsi="Times New Roman"/>
              </w:rPr>
              <w:t>Watermelon</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4304F01A"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779F4374"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FDF9D78" w14:textId="77777777" w:rsidR="00BC2A6D" w:rsidRDefault="00000000">
            <w:pPr>
              <w:pStyle w:val="Body"/>
              <w:spacing w:after="0" w:line="240" w:lineRule="auto"/>
            </w:pPr>
            <w:r>
              <w:rPr>
                <w:rFonts w:ascii="Times New Roman" w:hAnsi="Times New Roman"/>
              </w:rPr>
              <w:t>Bauhinia trees</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00A8D931"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68A0E30C" w14:textId="77777777" w:rsidR="00BC2A6D" w:rsidRDefault="00000000">
            <w:pPr>
              <w:pStyle w:val="Body"/>
              <w:spacing w:after="0" w:line="240" w:lineRule="auto"/>
            </w:pPr>
            <w:r>
              <w:rPr>
                <w:rFonts w:ascii="Times New Roman" w:hAnsi="Times New Roman"/>
              </w:rPr>
              <w:t>Lettuce</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7F3330AD"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69DF6909" w14:textId="77777777" w:rsidR="00BC2A6D" w:rsidRDefault="00000000">
            <w:pPr>
              <w:pStyle w:val="Body"/>
              <w:spacing w:after="0" w:line="240" w:lineRule="auto"/>
            </w:pPr>
            <w:r>
              <w:rPr>
                <w:rFonts w:ascii="Times New Roman" w:hAnsi="Times New Roman"/>
              </w:rPr>
              <w:t>Yam</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3ACD78C7"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77E070DE"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33EBBF30" w14:textId="77777777" w:rsidR="00BC2A6D" w:rsidRDefault="00000000">
            <w:pPr>
              <w:pStyle w:val="Body"/>
              <w:spacing w:after="0" w:line="240" w:lineRule="auto"/>
            </w:pPr>
            <w:r>
              <w:rPr>
                <w:rFonts w:ascii="Times New Roman" w:hAnsi="Times New Roman"/>
              </w:rPr>
              <w:t>Bean</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76126CA0"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3BDE2E50" w14:textId="77777777" w:rsidR="00BC2A6D" w:rsidRDefault="00000000">
            <w:pPr>
              <w:pStyle w:val="Body"/>
              <w:spacing w:after="0" w:line="240" w:lineRule="auto"/>
            </w:pPr>
            <w:r>
              <w:rPr>
                <w:rFonts w:ascii="Times New Roman" w:hAnsi="Times New Roman"/>
              </w:rPr>
              <w:t>Linseed</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55A37406"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7AA6F686" w14:textId="77777777" w:rsidR="00BC2A6D" w:rsidRDefault="00000000">
            <w:pPr>
              <w:pStyle w:val="Body"/>
              <w:spacing w:after="0" w:line="240" w:lineRule="auto"/>
            </w:pPr>
            <w:r>
              <w:rPr>
                <w:rFonts w:ascii="Times New Roman" w:hAnsi="Times New Roman"/>
              </w:rPr>
              <w:t>Zucchini</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724C658B"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443653C4"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7856D9B9" w14:textId="77777777" w:rsidR="00BC2A6D" w:rsidRDefault="00000000">
            <w:pPr>
              <w:pStyle w:val="Body"/>
              <w:spacing w:after="0" w:line="240" w:lineRule="auto"/>
            </w:pPr>
            <w:r>
              <w:rPr>
                <w:rFonts w:ascii="Times New Roman" w:hAnsi="Times New Roman"/>
              </w:rPr>
              <w:t>Beet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36EB8FC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05F6E191" w14:textId="77777777" w:rsidR="00BC2A6D" w:rsidRDefault="00000000">
            <w:pPr>
              <w:pStyle w:val="Body"/>
              <w:spacing w:after="0" w:line="240" w:lineRule="auto"/>
            </w:pPr>
            <w:r>
              <w:rPr>
                <w:rFonts w:ascii="Times New Roman" w:hAnsi="Times New Roman"/>
              </w:rPr>
              <w:t>Lupin</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6B383437"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66381930" w14:textId="77777777" w:rsidR="00BC2A6D" w:rsidRDefault="00000000">
            <w:pPr>
              <w:pStyle w:val="Body"/>
              <w:spacing w:after="0" w:line="240" w:lineRule="auto"/>
            </w:pPr>
            <w:r>
              <w:rPr>
                <w:rFonts w:ascii="Times New Roman" w:hAnsi="Times New Roman"/>
              </w:rPr>
              <w:t>Quinoa</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112B4658"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23F9CE4F"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73387013" w14:textId="77777777" w:rsidR="00BC2A6D" w:rsidRDefault="00000000">
            <w:pPr>
              <w:pStyle w:val="Body"/>
              <w:spacing w:after="0" w:line="240" w:lineRule="auto"/>
            </w:pPr>
            <w:r>
              <w:rPr>
                <w:rFonts w:ascii="Times New Roman" w:hAnsi="Times New Roman"/>
              </w:rPr>
              <w:t>Black gram</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7307BFE"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7A11991C" w14:textId="77777777" w:rsidR="00BC2A6D" w:rsidRDefault="00000000">
            <w:pPr>
              <w:pStyle w:val="Body"/>
              <w:spacing w:after="0" w:line="240" w:lineRule="auto"/>
            </w:pPr>
            <w:r>
              <w:rPr>
                <w:rFonts w:ascii="Times New Roman" w:hAnsi="Times New Roman"/>
              </w:rPr>
              <w:t>Melon</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102BBF36"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79532DCA" w14:textId="77777777" w:rsidR="00BC2A6D" w:rsidRDefault="00000000">
            <w:pPr>
              <w:pStyle w:val="Body"/>
              <w:spacing w:after="0" w:line="240" w:lineRule="auto"/>
            </w:pPr>
            <w:r>
              <w:rPr>
                <w:rFonts w:ascii="Times New Roman" w:hAnsi="Times New Roman"/>
              </w:rPr>
              <w:t>Radish</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0710A0E9"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3AD23E57"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416C6100" w14:textId="77777777" w:rsidR="00BC2A6D" w:rsidRDefault="00000000">
            <w:pPr>
              <w:pStyle w:val="Body"/>
              <w:spacing w:after="0" w:line="240" w:lineRule="auto"/>
            </w:pPr>
            <w:r>
              <w:rPr>
                <w:rFonts w:ascii="Times New Roman" w:hAnsi="Times New Roman"/>
              </w:rPr>
              <w:t>Broad bean</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75D20E98"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1686D602" w14:textId="77777777" w:rsidR="00BC2A6D" w:rsidRDefault="00000000">
            <w:pPr>
              <w:pStyle w:val="Body"/>
              <w:spacing w:after="0" w:line="240" w:lineRule="auto"/>
            </w:pPr>
            <w:r>
              <w:rPr>
                <w:rFonts w:ascii="Times New Roman" w:hAnsi="Times New Roman"/>
              </w:rPr>
              <w:t>Mung bean</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4DCCB6B5"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18A2F7F" w14:textId="77777777" w:rsidR="00BC2A6D" w:rsidRDefault="00000000">
            <w:pPr>
              <w:pStyle w:val="Body"/>
              <w:spacing w:after="0" w:line="240" w:lineRule="auto"/>
            </w:pPr>
            <w:r>
              <w:rPr>
                <w:rFonts w:ascii="Times New Roman" w:hAnsi="Times New Roman"/>
              </w:rPr>
              <w:t>Rapeseed</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6D4CEAA2"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6C4635C0"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2EAE6241" w14:textId="77777777" w:rsidR="00BC2A6D" w:rsidRDefault="00000000">
            <w:pPr>
              <w:pStyle w:val="Body"/>
              <w:spacing w:after="0" w:line="240" w:lineRule="auto"/>
            </w:pPr>
            <w:r>
              <w:rPr>
                <w:rFonts w:ascii="Times New Roman" w:hAnsi="Times New Roman"/>
              </w:rPr>
              <w:t>Broccoli</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72FC1880"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4C44CBE1" w14:textId="77777777" w:rsidR="00BC2A6D" w:rsidRDefault="00000000">
            <w:pPr>
              <w:pStyle w:val="Body"/>
              <w:spacing w:after="0" w:line="240" w:lineRule="auto"/>
            </w:pPr>
            <w:r>
              <w:rPr>
                <w:rFonts w:ascii="Times New Roman" w:hAnsi="Times New Roman"/>
              </w:rPr>
              <w:t>Mustard</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064E4771"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04175F38" w14:textId="77777777" w:rsidR="00BC2A6D" w:rsidRDefault="00000000">
            <w:pPr>
              <w:pStyle w:val="Body"/>
              <w:spacing w:after="0" w:line="240" w:lineRule="auto"/>
            </w:pPr>
            <w:r>
              <w:rPr>
                <w:rFonts w:ascii="Times New Roman" w:hAnsi="Times New Roman"/>
              </w:rPr>
              <w:t>Ribwort plantain</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0FAC9E6B"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070CABB3"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5C890082" w14:textId="77777777" w:rsidR="00BC2A6D" w:rsidRDefault="00000000">
            <w:pPr>
              <w:pStyle w:val="Body"/>
              <w:spacing w:after="0" w:line="240" w:lineRule="auto"/>
            </w:pPr>
            <w:r>
              <w:rPr>
                <w:rFonts w:ascii="Times New Roman" w:hAnsi="Times New Roman"/>
              </w:rPr>
              <w:t>Cabbage</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0EE55B83"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0FF473BB" w14:textId="77777777" w:rsidR="00BC2A6D" w:rsidRDefault="00000000">
            <w:pPr>
              <w:pStyle w:val="Body"/>
              <w:spacing w:after="0" w:line="240" w:lineRule="auto"/>
            </w:pPr>
            <w:r>
              <w:rPr>
                <w:rFonts w:ascii="Times New Roman" w:hAnsi="Times New Roman"/>
              </w:rPr>
              <w:t>Oil palm</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300876D2"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4FC31E5F" w14:textId="77777777" w:rsidR="00BC2A6D" w:rsidRDefault="00000000">
            <w:pPr>
              <w:pStyle w:val="Body"/>
              <w:spacing w:after="0" w:line="240" w:lineRule="auto"/>
            </w:pPr>
            <w:r>
              <w:rPr>
                <w:rFonts w:ascii="Times New Roman" w:hAnsi="Times New Roman"/>
              </w:rPr>
              <w:t>Runner bean</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0B70F250" w14:textId="77777777" w:rsidR="00BC2A6D" w:rsidRDefault="00000000">
            <w:pPr>
              <w:pStyle w:val="Body"/>
              <w:spacing w:after="0" w:line="240" w:lineRule="auto"/>
            </w:pPr>
            <w:proofErr w:type="spellStart"/>
            <w:r>
              <w:rPr>
                <w:rFonts w:ascii="Times New Roman" w:hAnsi="Times New Roman"/>
              </w:rPr>
              <w:t>V_F_others</w:t>
            </w:r>
            <w:proofErr w:type="spellEnd"/>
          </w:p>
        </w:tc>
      </w:tr>
      <w:tr w:rsidR="00BC2A6D" w14:paraId="55AF2044" w14:textId="77777777">
        <w:trPr>
          <w:trHeight w:val="251"/>
        </w:trPr>
        <w:tc>
          <w:tcPr>
            <w:tcW w:w="1701" w:type="dxa"/>
            <w:tcBorders>
              <w:top w:val="nil"/>
              <w:left w:val="nil"/>
              <w:bottom w:val="nil"/>
              <w:right w:val="nil"/>
            </w:tcBorders>
            <w:shd w:val="clear" w:color="auto" w:fill="auto"/>
            <w:tcMar>
              <w:top w:w="80" w:type="dxa"/>
              <w:left w:w="80" w:type="dxa"/>
              <w:bottom w:w="80" w:type="dxa"/>
              <w:right w:w="80" w:type="dxa"/>
            </w:tcMar>
            <w:vAlign w:val="bottom"/>
          </w:tcPr>
          <w:p w14:paraId="0C23B431" w14:textId="77777777" w:rsidR="00BC2A6D" w:rsidRDefault="00000000">
            <w:pPr>
              <w:pStyle w:val="Body"/>
              <w:spacing w:after="0" w:line="240" w:lineRule="auto"/>
            </w:pPr>
            <w:r>
              <w:rPr>
                <w:rFonts w:ascii="Times New Roman" w:hAnsi="Times New Roman"/>
              </w:rPr>
              <w:t>Carrot</w:t>
            </w:r>
          </w:p>
        </w:tc>
        <w:tc>
          <w:tcPr>
            <w:tcW w:w="1418" w:type="dxa"/>
            <w:tcBorders>
              <w:top w:val="nil"/>
              <w:left w:val="nil"/>
              <w:bottom w:val="nil"/>
              <w:right w:val="nil"/>
            </w:tcBorders>
            <w:shd w:val="clear" w:color="auto" w:fill="auto"/>
            <w:tcMar>
              <w:top w:w="80" w:type="dxa"/>
              <w:left w:w="80" w:type="dxa"/>
              <w:bottom w:w="80" w:type="dxa"/>
              <w:right w:w="80" w:type="dxa"/>
            </w:tcMar>
            <w:vAlign w:val="bottom"/>
          </w:tcPr>
          <w:p w14:paraId="50C47E30"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1484" w:type="dxa"/>
            <w:tcBorders>
              <w:top w:val="nil"/>
              <w:left w:val="nil"/>
              <w:bottom w:val="nil"/>
              <w:right w:val="nil"/>
            </w:tcBorders>
            <w:shd w:val="clear" w:color="auto" w:fill="auto"/>
            <w:tcMar>
              <w:top w:w="80" w:type="dxa"/>
              <w:left w:w="80" w:type="dxa"/>
              <w:bottom w:w="80" w:type="dxa"/>
              <w:right w:w="80" w:type="dxa"/>
            </w:tcMar>
            <w:vAlign w:val="bottom"/>
          </w:tcPr>
          <w:p w14:paraId="1D29CEBB" w14:textId="77777777" w:rsidR="00BC2A6D" w:rsidRDefault="00000000">
            <w:pPr>
              <w:pStyle w:val="Body"/>
              <w:spacing w:after="0" w:line="240" w:lineRule="auto"/>
            </w:pPr>
            <w:r>
              <w:rPr>
                <w:rFonts w:ascii="Times New Roman" w:hAnsi="Times New Roman"/>
              </w:rPr>
              <w:t>okra</w:t>
            </w:r>
          </w:p>
        </w:tc>
        <w:tc>
          <w:tcPr>
            <w:tcW w:w="1445" w:type="dxa"/>
            <w:tcBorders>
              <w:top w:val="nil"/>
              <w:left w:val="nil"/>
              <w:bottom w:val="nil"/>
              <w:right w:val="nil"/>
            </w:tcBorders>
            <w:shd w:val="clear" w:color="auto" w:fill="auto"/>
            <w:tcMar>
              <w:top w:w="80" w:type="dxa"/>
              <w:left w:w="80" w:type="dxa"/>
              <w:bottom w:w="80" w:type="dxa"/>
              <w:right w:w="80" w:type="dxa"/>
            </w:tcMar>
            <w:vAlign w:val="bottom"/>
          </w:tcPr>
          <w:p w14:paraId="67ECA6DC" w14:textId="77777777" w:rsidR="00BC2A6D" w:rsidRDefault="00000000">
            <w:pPr>
              <w:pStyle w:val="Body"/>
              <w:spacing w:after="0" w:line="240" w:lineRule="auto"/>
            </w:pPr>
            <w:proofErr w:type="spellStart"/>
            <w:r>
              <w:rPr>
                <w:rFonts w:ascii="Times New Roman" w:hAnsi="Times New Roman"/>
              </w:rPr>
              <w:t>V_F_others</w:t>
            </w:r>
            <w:proofErr w:type="spellEnd"/>
          </w:p>
        </w:tc>
        <w:tc>
          <w:tcPr>
            <w:tcW w:w="2015" w:type="dxa"/>
            <w:tcBorders>
              <w:top w:val="nil"/>
              <w:left w:val="nil"/>
              <w:bottom w:val="nil"/>
              <w:right w:val="nil"/>
            </w:tcBorders>
            <w:shd w:val="clear" w:color="auto" w:fill="auto"/>
            <w:tcMar>
              <w:top w:w="80" w:type="dxa"/>
              <w:left w:w="80" w:type="dxa"/>
              <w:bottom w:w="80" w:type="dxa"/>
              <w:right w:w="80" w:type="dxa"/>
            </w:tcMar>
            <w:vAlign w:val="bottom"/>
          </w:tcPr>
          <w:p w14:paraId="7CCA3856" w14:textId="77777777" w:rsidR="00BC2A6D" w:rsidRDefault="00000000">
            <w:pPr>
              <w:pStyle w:val="Body"/>
              <w:spacing w:after="0" w:line="240" w:lineRule="auto"/>
            </w:pPr>
            <w:r>
              <w:rPr>
                <w:rFonts w:ascii="Times New Roman" w:hAnsi="Times New Roman"/>
              </w:rPr>
              <w:t> </w:t>
            </w:r>
          </w:p>
        </w:tc>
        <w:tc>
          <w:tcPr>
            <w:tcW w:w="1625" w:type="dxa"/>
            <w:tcBorders>
              <w:top w:val="nil"/>
              <w:left w:val="nil"/>
              <w:bottom w:val="nil"/>
              <w:right w:val="nil"/>
            </w:tcBorders>
            <w:shd w:val="clear" w:color="auto" w:fill="auto"/>
            <w:tcMar>
              <w:top w:w="80" w:type="dxa"/>
              <w:left w:w="80" w:type="dxa"/>
              <w:bottom w:w="80" w:type="dxa"/>
              <w:right w:w="80" w:type="dxa"/>
            </w:tcMar>
            <w:vAlign w:val="bottom"/>
          </w:tcPr>
          <w:p w14:paraId="74E02317" w14:textId="77777777" w:rsidR="00BC2A6D" w:rsidRDefault="00000000">
            <w:pPr>
              <w:pStyle w:val="Body"/>
              <w:spacing w:after="0" w:line="240" w:lineRule="auto"/>
            </w:pPr>
            <w:r>
              <w:rPr>
                <w:rFonts w:ascii="Times New Roman" w:hAnsi="Times New Roman"/>
              </w:rPr>
              <w:t> </w:t>
            </w:r>
          </w:p>
        </w:tc>
      </w:tr>
      <w:tr w:rsidR="00BC2A6D" w14:paraId="3D1EB4D4" w14:textId="77777777">
        <w:trPr>
          <w:trHeight w:val="246"/>
        </w:trPr>
        <w:tc>
          <w:tcPr>
            <w:tcW w:w="170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A75B4BC" w14:textId="77777777" w:rsidR="00BC2A6D" w:rsidRDefault="00BC2A6D"/>
        </w:tc>
        <w:tc>
          <w:tcPr>
            <w:tcW w:w="1418"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0A35694" w14:textId="77777777" w:rsidR="00BC2A6D" w:rsidRDefault="00BC2A6D"/>
        </w:tc>
        <w:tc>
          <w:tcPr>
            <w:tcW w:w="1484"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253D5425" w14:textId="77777777" w:rsidR="00BC2A6D" w:rsidRDefault="00BC2A6D"/>
        </w:tc>
        <w:tc>
          <w:tcPr>
            <w:tcW w:w="1445"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CD1C3E4" w14:textId="77777777" w:rsidR="00BC2A6D" w:rsidRDefault="00BC2A6D"/>
        </w:tc>
        <w:tc>
          <w:tcPr>
            <w:tcW w:w="2015"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654E15C" w14:textId="77777777" w:rsidR="00BC2A6D" w:rsidRDefault="00BC2A6D"/>
        </w:tc>
        <w:tc>
          <w:tcPr>
            <w:tcW w:w="1625"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15676F8" w14:textId="77777777" w:rsidR="00BC2A6D" w:rsidRDefault="00BC2A6D"/>
        </w:tc>
      </w:tr>
    </w:tbl>
    <w:p w14:paraId="5E0BED59" w14:textId="77777777" w:rsidR="00BC2A6D" w:rsidRDefault="00BC2A6D">
      <w:pPr>
        <w:pStyle w:val="NormalWeb"/>
        <w:widowControl w:val="0"/>
        <w:rPr>
          <w:sz w:val="22"/>
          <w:szCs w:val="22"/>
        </w:rPr>
      </w:pPr>
    </w:p>
    <w:p w14:paraId="0A9D625A" w14:textId="77777777" w:rsidR="00BC2A6D" w:rsidRDefault="00BC2A6D">
      <w:pPr>
        <w:pStyle w:val="NormalWeb"/>
        <w:rPr>
          <w:b/>
          <w:bCs/>
          <w:sz w:val="22"/>
          <w:szCs w:val="22"/>
        </w:rPr>
      </w:pPr>
    </w:p>
    <w:p w14:paraId="52D2C334" w14:textId="77777777" w:rsidR="00BC2A6D" w:rsidRDefault="00000000">
      <w:pPr>
        <w:pStyle w:val="Body"/>
        <w:widowControl w:val="0"/>
        <w:spacing w:after="0" w:line="260" w:lineRule="exact"/>
        <w:jc w:val="both"/>
        <w:rPr>
          <w:rFonts w:ascii="Times New Roman" w:eastAsia="Times New Roman" w:hAnsi="Times New Roman" w:cs="Times New Roman"/>
        </w:rPr>
      </w:pPr>
      <w:r>
        <w:rPr>
          <w:rFonts w:ascii="Times New Roman" w:hAnsi="Times New Roman"/>
        </w:rPr>
        <w:t>Supplementary Table 2:   Soil type classes</w:t>
      </w:r>
    </w:p>
    <w:p w14:paraId="7A9777AE" w14:textId="77777777" w:rsidR="00BC2A6D" w:rsidRDefault="00BC2A6D">
      <w:pPr>
        <w:pStyle w:val="Body"/>
        <w:widowControl w:val="0"/>
        <w:spacing w:after="0" w:line="260" w:lineRule="exact"/>
        <w:jc w:val="both"/>
        <w:rPr>
          <w:rFonts w:ascii="Times New Roman" w:eastAsia="Times New Roman" w:hAnsi="Times New Roman" w:cs="Times New Roman"/>
        </w:rPr>
      </w:pPr>
    </w:p>
    <w:tbl>
      <w:tblPr>
        <w:tblW w:w="428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681"/>
        <w:gridCol w:w="1460"/>
        <w:gridCol w:w="681"/>
        <w:gridCol w:w="1460"/>
      </w:tblGrid>
      <w:tr w:rsidR="00BC2A6D" w14:paraId="68FEB82D" w14:textId="77777777">
        <w:trPr>
          <w:trHeight w:val="241"/>
        </w:trPr>
        <w:tc>
          <w:tcPr>
            <w:tcW w:w="68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1FD74D97" w14:textId="77777777" w:rsidR="00BC2A6D" w:rsidRDefault="00000000">
            <w:pPr>
              <w:pStyle w:val="Body"/>
              <w:spacing w:after="0" w:line="240" w:lineRule="auto"/>
            </w:pPr>
            <w:r>
              <w:rPr>
                <w:rFonts w:ascii="Times New Roman" w:hAnsi="Times New Roman"/>
                <w:kern w:val="0"/>
              </w:rPr>
              <w:t>Code</w:t>
            </w:r>
          </w:p>
        </w:tc>
        <w:tc>
          <w:tcPr>
            <w:tcW w:w="14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21C86B9B" w14:textId="77777777" w:rsidR="00BC2A6D" w:rsidRDefault="00000000">
            <w:pPr>
              <w:pStyle w:val="Body"/>
              <w:spacing w:after="0" w:line="240" w:lineRule="auto"/>
            </w:pPr>
            <w:r>
              <w:rPr>
                <w:rFonts w:ascii="Times New Roman" w:hAnsi="Times New Roman"/>
                <w:kern w:val="0"/>
              </w:rPr>
              <w:t>Soil class</w:t>
            </w:r>
          </w:p>
        </w:tc>
        <w:tc>
          <w:tcPr>
            <w:tcW w:w="681"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20D4D34E" w14:textId="77777777" w:rsidR="00BC2A6D" w:rsidRDefault="00000000">
            <w:pPr>
              <w:pStyle w:val="Body"/>
              <w:spacing w:after="0" w:line="240" w:lineRule="auto"/>
            </w:pPr>
            <w:r>
              <w:rPr>
                <w:rFonts w:ascii="Times New Roman" w:hAnsi="Times New Roman"/>
                <w:kern w:val="0"/>
              </w:rPr>
              <w:t>Code</w:t>
            </w:r>
          </w:p>
        </w:tc>
        <w:tc>
          <w:tcPr>
            <w:tcW w:w="14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1FBB2171" w14:textId="77777777" w:rsidR="00BC2A6D" w:rsidRDefault="00000000">
            <w:pPr>
              <w:pStyle w:val="Body"/>
              <w:spacing w:after="0" w:line="240" w:lineRule="auto"/>
            </w:pPr>
            <w:r>
              <w:rPr>
                <w:rFonts w:ascii="Times New Roman" w:hAnsi="Times New Roman"/>
                <w:kern w:val="0"/>
              </w:rPr>
              <w:t>Soil class</w:t>
            </w:r>
          </w:p>
        </w:tc>
      </w:tr>
      <w:tr w:rsidR="00BC2A6D" w14:paraId="4E6AC534" w14:textId="77777777">
        <w:trPr>
          <w:trHeight w:val="246"/>
        </w:trPr>
        <w:tc>
          <w:tcPr>
            <w:tcW w:w="681"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EEC852B" w14:textId="77777777" w:rsidR="00BC2A6D" w:rsidRDefault="00000000">
            <w:pPr>
              <w:pStyle w:val="Body"/>
              <w:spacing w:after="0" w:line="240" w:lineRule="auto"/>
            </w:pPr>
            <w:r>
              <w:rPr>
                <w:rFonts w:ascii="Times New Roman" w:hAnsi="Times New Roman"/>
                <w:kern w:val="0"/>
              </w:rPr>
              <w:t>0</w:t>
            </w:r>
          </w:p>
        </w:tc>
        <w:tc>
          <w:tcPr>
            <w:tcW w:w="146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2BD8EE6" w14:textId="77777777" w:rsidR="00BC2A6D" w:rsidRDefault="00000000">
            <w:pPr>
              <w:pStyle w:val="Body"/>
              <w:spacing w:after="0" w:line="240" w:lineRule="auto"/>
            </w:pPr>
            <w:proofErr w:type="spellStart"/>
            <w:r>
              <w:rPr>
                <w:rFonts w:ascii="Times New Roman" w:hAnsi="Times New Roman"/>
                <w:kern w:val="0"/>
              </w:rPr>
              <w:t>Acrisols</w:t>
            </w:r>
            <w:proofErr w:type="spellEnd"/>
          </w:p>
        </w:tc>
        <w:tc>
          <w:tcPr>
            <w:tcW w:w="681"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5D1FE3F2" w14:textId="77777777" w:rsidR="00BC2A6D" w:rsidRDefault="00000000">
            <w:pPr>
              <w:pStyle w:val="Body"/>
              <w:spacing w:after="0" w:line="240" w:lineRule="auto"/>
            </w:pPr>
            <w:r>
              <w:rPr>
                <w:rFonts w:ascii="Times New Roman" w:hAnsi="Times New Roman"/>
                <w:kern w:val="0"/>
              </w:rPr>
              <w:t>15</w:t>
            </w:r>
          </w:p>
        </w:tc>
        <w:tc>
          <w:tcPr>
            <w:tcW w:w="146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2B78A550" w14:textId="77777777" w:rsidR="00BC2A6D" w:rsidRDefault="00000000">
            <w:pPr>
              <w:pStyle w:val="Body"/>
              <w:spacing w:after="0" w:line="240" w:lineRule="auto"/>
            </w:pPr>
            <w:proofErr w:type="spellStart"/>
            <w:r>
              <w:rPr>
                <w:rFonts w:ascii="Times New Roman" w:hAnsi="Times New Roman"/>
                <w:kern w:val="0"/>
              </w:rPr>
              <w:t>Kastanozems</w:t>
            </w:r>
            <w:proofErr w:type="spellEnd"/>
          </w:p>
        </w:tc>
      </w:tr>
      <w:tr w:rsidR="00BC2A6D" w14:paraId="26EBAB1F"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711C3F3E" w14:textId="77777777" w:rsidR="00BC2A6D" w:rsidRDefault="00000000">
            <w:pPr>
              <w:pStyle w:val="Body"/>
              <w:spacing w:after="0" w:line="240" w:lineRule="auto"/>
            </w:pPr>
            <w:r>
              <w:rPr>
                <w:rFonts w:ascii="Times New Roman" w:hAnsi="Times New Roman"/>
                <w:kern w:val="0"/>
              </w:rPr>
              <w:t>1</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63B3282E" w14:textId="77777777" w:rsidR="00BC2A6D" w:rsidRDefault="00000000">
            <w:pPr>
              <w:pStyle w:val="Body"/>
              <w:spacing w:after="0" w:line="240" w:lineRule="auto"/>
            </w:pPr>
            <w:proofErr w:type="spellStart"/>
            <w:r>
              <w:rPr>
                <w:rFonts w:ascii="Times New Roman" w:hAnsi="Times New Roman"/>
                <w:kern w:val="0"/>
              </w:rPr>
              <w:t>Albeluvisols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6B1953E3" w14:textId="77777777" w:rsidR="00BC2A6D" w:rsidRDefault="00000000">
            <w:pPr>
              <w:pStyle w:val="Body"/>
              <w:spacing w:after="0" w:line="240" w:lineRule="auto"/>
            </w:pPr>
            <w:r>
              <w:rPr>
                <w:rFonts w:ascii="Times New Roman" w:hAnsi="Times New Roman"/>
                <w:kern w:val="0"/>
              </w:rPr>
              <w:t>16</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45B409E0" w14:textId="77777777" w:rsidR="00BC2A6D" w:rsidRDefault="00000000">
            <w:pPr>
              <w:pStyle w:val="Body"/>
              <w:spacing w:after="0" w:line="240" w:lineRule="auto"/>
            </w:pPr>
            <w:proofErr w:type="spellStart"/>
            <w:r>
              <w:rPr>
                <w:rFonts w:ascii="Times New Roman" w:hAnsi="Times New Roman"/>
                <w:kern w:val="0"/>
              </w:rPr>
              <w:t>Leptosols</w:t>
            </w:r>
            <w:proofErr w:type="spellEnd"/>
          </w:p>
        </w:tc>
      </w:tr>
      <w:tr w:rsidR="00BC2A6D" w14:paraId="7C2EB648"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3A108872" w14:textId="77777777" w:rsidR="00BC2A6D" w:rsidRDefault="00000000">
            <w:pPr>
              <w:pStyle w:val="Body"/>
              <w:spacing w:after="0" w:line="240" w:lineRule="auto"/>
            </w:pPr>
            <w:r>
              <w:rPr>
                <w:rFonts w:ascii="Times New Roman" w:hAnsi="Times New Roman"/>
                <w:kern w:val="0"/>
              </w:rPr>
              <w:t>2</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274F627F" w14:textId="77777777" w:rsidR="00BC2A6D" w:rsidRDefault="00000000">
            <w:pPr>
              <w:pStyle w:val="Body"/>
              <w:spacing w:after="0" w:line="240" w:lineRule="auto"/>
            </w:pPr>
            <w:proofErr w:type="spellStart"/>
            <w:r>
              <w:rPr>
                <w:rFonts w:ascii="Times New Roman" w:hAnsi="Times New Roman"/>
                <w:kern w:val="0"/>
              </w:rPr>
              <w:t>Alisols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2B8256E3" w14:textId="77777777" w:rsidR="00BC2A6D" w:rsidRDefault="00000000">
            <w:pPr>
              <w:pStyle w:val="Body"/>
              <w:spacing w:after="0" w:line="240" w:lineRule="auto"/>
            </w:pPr>
            <w:r>
              <w:rPr>
                <w:rFonts w:ascii="Times New Roman" w:hAnsi="Times New Roman"/>
                <w:kern w:val="0"/>
              </w:rPr>
              <w:t>17</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424C1782" w14:textId="77777777" w:rsidR="00BC2A6D" w:rsidRDefault="00000000">
            <w:pPr>
              <w:pStyle w:val="Body"/>
              <w:spacing w:after="0" w:line="240" w:lineRule="auto"/>
            </w:pPr>
            <w:proofErr w:type="spellStart"/>
            <w:r>
              <w:rPr>
                <w:rFonts w:ascii="Times New Roman" w:hAnsi="Times New Roman"/>
                <w:kern w:val="0"/>
              </w:rPr>
              <w:t>Lixisols</w:t>
            </w:r>
            <w:proofErr w:type="spellEnd"/>
          </w:p>
        </w:tc>
      </w:tr>
      <w:tr w:rsidR="00BC2A6D" w14:paraId="16E3722F"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2713E31E" w14:textId="77777777" w:rsidR="00BC2A6D" w:rsidRDefault="00000000">
            <w:pPr>
              <w:pStyle w:val="Body"/>
              <w:spacing w:after="0" w:line="240" w:lineRule="auto"/>
            </w:pPr>
            <w:r>
              <w:rPr>
                <w:rFonts w:ascii="Times New Roman" w:hAnsi="Times New Roman"/>
                <w:kern w:val="0"/>
              </w:rPr>
              <w:t>3</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40FCAC39" w14:textId="77777777" w:rsidR="00BC2A6D" w:rsidRDefault="00000000">
            <w:pPr>
              <w:pStyle w:val="Body"/>
              <w:spacing w:after="0" w:line="240" w:lineRule="auto"/>
            </w:pPr>
            <w:r>
              <w:rPr>
                <w:rFonts w:ascii="Times New Roman" w:hAnsi="Times New Roman"/>
                <w:kern w:val="0"/>
              </w:rPr>
              <w:t>Andosols</w:t>
            </w:r>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3867D4A2" w14:textId="77777777" w:rsidR="00BC2A6D" w:rsidRDefault="00000000">
            <w:pPr>
              <w:pStyle w:val="Body"/>
              <w:spacing w:after="0" w:line="240" w:lineRule="auto"/>
            </w:pPr>
            <w:r>
              <w:rPr>
                <w:rFonts w:ascii="Times New Roman" w:hAnsi="Times New Roman"/>
                <w:kern w:val="0"/>
              </w:rPr>
              <w:t>18</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02552119" w14:textId="77777777" w:rsidR="00BC2A6D" w:rsidRDefault="00000000">
            <w:pPr>
              <w:pStyle w:val="Body"/>
              <w:spacing w:after="0" w:line="240" w:lineRule="auto"/>
            </w:pPr>
            <w:proofErr w:type="spellStart"/>
            <w:r>
              <w:rPr>
                <w:rFonts w:ascii="Times New Roman" w:hAnsi="Times New Roman"/>
                <w:kern w:val="0"/>
              </w:rPr>
              <w:t>Luvisols</w:t>
            </w:r>
            <w:proofErr w:type="spellEnd"/>
          </w:p>
        </w:tc>
      </w:tr>
      <w:tr w:rsidR="00BC2A6D" w14:paraId="1088945F"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2EA02E19" w14:textId="77777777" w:rsidR="00BC2A6D" w:rsidRDefault="00000000">
            <w:pPr>
              <w:pStyle w:val="Body"/>
              <w:spacing w:after="0" w:line="240" w:lineRule="auto"/>
            </w:pPr>
            <w:r>
              <w:rPr>
                <w:rFonts w:ascii="Times New Roman" w:hAnsi="Times New Roman"/>
                <w:kern w:val="0"/>
              </w:rPr>
              <w:t>4</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52154854" w14:textId="77777777" w:rsidR="00BC2A6D" w:rsidRDefault="00000000">
            <w:pPr>
              <w:pStyle w:val="Body"/>
              <w:spacing w:after="0" w:line="240" w:lineRule="auto"/>
            </w:pPr>
            <w:proofErr w:type="spellStart"/>
            <w:r>
              <w:rPr>
                <w:rFonts w:ascii="Times New Roman" w:hAnsi="Times New Roman"/>
                <w:kern w:val="0"/>
              </w:rPr>
              <w:t>Arenosols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158490CA" w14:textId="77777777" w:rsidR="00BC2A6D" w:rsidRDefault="00000000">
            <w:pPr>
              <w:pStyle w:val="Body"/>
              <w:spacing w:after="0" w:line="240" w:lineRule="auto"/>
            </w:pPr>
            <w:r>
              <w:rPr>
                <w:rFonts w:ascii="Times New Roman" w:hAnsi="Times New Roman"/>
                <w:kern w:val="0"/>
              </w:rPr>
              <w:t>19</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19B359CC" w14:textId="77777777" w:rsidR="00BC2A6D" w:rsidRDefault="00000000">
            <w:pPr>
              <w:pStyle w:val="Body"/>
              <w:spacing w:after="0" w:line="240" w:lineRule="auto"/>
            </w:pPr>
            <w:r>
              <w:rPr>
                <w:rFonts w:ascii="Times New Roman" w:hAnsi="Times New Roman"/>
                <w:kern w:val="0"/>
              </w:rPr>
              <w:t>Nitisols</w:t>
            </w:r>
          </w:p>
        </w:tc>
      </w:tr>
      <w:tr w:rsidR="00BC2A6D" w14:paraId="2C2588A4"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62B0A8E5" w14:textId="77777777" w:rsidR="00BC2A6D" w:rsidRDefault="00000000">
            <w:pPr>
              <w:pStyle w:val="Body"/>
              <w:spacing w:after="0" w:line="240" w:lineRule="auto"/>
            </w:pPr>
            <w:r>
              <w:rPr>
                <w:rFonts w:ascii="Times New Roman" w:hAnsi="Times New Roman"/>
                <w:kern w:val="0"/>
              </w:rPr>
              <w:t>5</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2E4C55B9" w14:textId="77777777" w:rsidR="00BC2A6D" w:rsidRDefault="00000000">
            <w:pPr>
              <w:pStyle w:val="Body"/>
              <w:spacing w:after="0" w:line="240" w:lineRule="auto"/>
            </w:pPr>
            <w:proofErr w:type="spellStart"/>
            <w:r>
              <w:rPr>
                <w:rFonts w:ascii="Times New Roman" w:hAnsi="Times New Roman"/>
                <w:kern w:val="0"/>
              </w:rPr>
              <w:t>Calcisols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41816FB3" w14:textId="77777777" w:rsidR="00BC2A6D" w:rsidRDefault="00000000">
            <w:pPr>
              <w:pStyle w:val="Body"/>
              <w:spacing w:after="0" w:line="240" w:lineRule="auto"/>
            </w:pPr>
            <w:r>
              <w:rPr>
                <w:rFonts w:ascii="Times New Roman" w:hAnsi="Times New Roman"/>
                <w:kern w:val="0"/>
              </w:rPr>
              <w:t>20</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1DA70989" w14:textId="77777777" w:rsidR="00BC2A6D" w:rsidRDefault="00000000">
            <w:pPr>
              <w:pStyle w:val="Body"/>
              <w:spacing w:after="0" w:line="240" w:lineRule="auto"/>
            </w:pPr>
            <w:r>
              <w:rPr>
                <w:rFonts w:ascii="Times New Roman" w:hAnsi="Times New Roman"/>
                <w:kern w:val="0"/>
              </w:rPr>
              <w:t>Phaeozems</w:t>
            </w:r>
          </w:p>
        </w:tc>
      </w:tr>
      <w:tr w:rsidR="00BC2A6D" w14:paraId="1CD138DA"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36F7B413" w14:textId="77777777" w:rsidR="00BC2A6D" w:rsidRDefault="00000000">
            <w:pPr>
              <w:pStyle w:val="Body"/>
              <w:spacing w:after="0" w:line="240" w:lineRule="auto"/>
            </w:pPr>
            <w:r>
              <w:rPr>
                <w:rFonts w:ascii="Times New Roman" w:hAnsi="Times New Roman"/>
                <w:kern w:val="0"/>
              </w:rPr>
              <w:t>6</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57C41518" w14:textId="77777777" w:rsidR="00BC2A6D" w:rsidRDefault="00000000">
            <w:pPr>
              <w:pStyle w:val="Body"/>
              <w:spacing w:after="0" w:line="240" w:lineRule="auto"/>
            </w:pPr>
            <w:proofErr w:type="spellStart"/>
            <w:r>
              <w:rPr>
                <w:rFonts w:ascii="Times New Roman" w:hAnsi="Times New Roman"/>
                <w:kern w:val="0"/>
              </w:rPr>
              <w:t>Cambisols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186A0B8B" w14:textId="77777777" w:rsidR="00BC2A6D" w:rsidRDefault="00000000">
            <w:pPr>
              <w:pStyle w:val="Body"/>
              <w:spacing w:after="0" w:line="240" w:lineRule="auto"/>
            </w:pPr>
            <w:r>
              <w:rPr>
                <w:rFonts w:ascii="Times New Roman" w:hAnsi="Times New Roman"/>
                <w:kern w:val="0"/>
              </w:rPr>
              <w:t>21</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37499476" w14:textId="77777777" w:rsidR="00BC2A6D" w:rsidRDefault="00000000">
            <w:pPr>
              <w:pStyle w:val="Body"/>
              <w:spacing w:after="0" w:line="240" w:lineRule="auto"/>
            </w:pPr>
            <w:proofErr w:type="spellStart"/>
            <w:r>
              <w:rPr>
                <w:rFonts w:ascii="Times New Roman" w:hAnsi="Times New Roman"/>
                <w:kern w:val="0"/>
              </w:rPr>
              <w:t>Planosols</w:t>
            </w:r>
            <w:proofErr w:type="spellEnd"/>
          </w:p>
        </w:tc>
      </w:tr>
      <w:tr w:rsidR="00BC2A6D" w14:paraId="659FA25D"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217ECFB3" w14:textId="77777777" w:rsidR="00BC2A6D" w:rsidRDefault="00000000">
            <w:pPr>
              <w:pStyle w:val="Body"/>
              <w:spacing w:after="0" w:line="240" w:lineRule="auto"/>
            </w:pPr>
            <w:r>
              <w:rPr>
                <w:rFonts w:ascii="Times New Roman" w:hAnsi="Times New Roman"/>
                <w:kern w:val="0"/>
              </w:rPr>
              <w:t>7</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18F2CAF7" w14:textId="77777777" w:rsidR="00BC2A6D" w:rsidRDefault="00000000">
            <w:pPr>
              <w:pStyle w:val="Body"/>
              <w:spacing w:after="0" w:line="240" w:lineRule="auto"/>
            </w:pPr>
            <w:r>
              <w:rPr>
                <w:rFonts w:ascii="Times New Roman" w:hAnsi="Times New Roman"/>
                <w:kern w:val="0"/>
              </w:rPr>
              <w:t>Chernozems</w:t>
            </w:r>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35611D67" w14:textId="77777777" w:rsidR="00BC2A6D" w:rsidRDefault="00000000">
            <w:pPr>
              <w:pStyle w:val="Body"/>
              <w:spacing w:after="0" w:line="240" w:lineRule="auto"/>
            </w:pPr>
            <w:r>
              <w:rPr>
                <w:rFonts w:ascii="Times New Roman" w:hAnsi="Times New Roman"/>
                <w:kern w:val="0"/>
              </w:rPr>
              <w:t>22</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69B1D0AE" w14:textId="77777777" w:rsidR="00BC2A6D" w:rsidRDefault="00000000">
            <w:pPr>
              <w:pStyle w:val="Body"/>
              <w:spacing w:after="0" w:line="240" w:lineRule="auto"/>
            </w:pPr>
            <w:r>
              <w:rPr>
                <w:rFonts w:ascii="Times New Roman" w:hAnsi="Times New Roman"/>
                <w:kern w:val="0"/>
              </w:rPr>
              <w:t>Plinthosols</w:t>
            </w:r>
          </w:p>
        </w:tc>
      </w:tr>
      <w:tr w:rsidR="00BC2A6D" w14:paraId="34A22D31"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3824ACFE" w14:textId="77777777" w:rsidR="00BC2A6D" w:rsidRDefault="00000000">
            <w:pPr>
              <w:pStyle w:val="Body"/>
              <w:spacing w:after="0" w:line="240" w:lineRule="auto"/>
            </w:pPr>
            <w:r>
              <w:rPr>
                <w:rFonts w:ascii="Times New Roman" w:hAnsi="Times New Roman"/>
                <w:kern w:val="0"/>
              </w:rPr>
              <w:t>8</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720D52A1" w14:textId="77777777" w:rsidR="00BC2A6D" w:rsidRDefault="00000000">
            <w:pPr>
              <w:pStyle w:val="Body"/>
              <w:spacing w:after="0" w:line="240" w:lineRule="auto"/>
            </w:pPr>
            <w:r>
              <w:rPr>
                <w:rFonts w:ascii="Times New Roman" w:hAnsi="Times New Roman"/>
                <w:kern w:val="0"/>
              </w:rPr>
              <w:t>Cryosols</w:t>
            </w:r>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0427D9D6" w14:textId="77777777" w:rsidR="00BC2A6D" w:rsidRDefault="00000000">
            <w:pPr>
              <w:pStyle w:val="Body"/>
              <w:spacing w:after="0" w:line="240" w:lineRule="auto"/>
            </w:pPr>
            <w:r>
              <w:rPr>
                <w:rFonts w:ascii="Times New Roman" w:hAnsi="Times New Roman"/>
                <w:kern w:val="0"/>
              </w:rPr>
              <w:t>23</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07DC9739" w14:textId="77777777" w:rsidR="00BC2A6D" w:rsidRDefault="00000000">
            <w:pPr>
              <w:pStyle w:val="Body"/>
              <w:spacing w:after="0" w:line="240" w:lineRule="auto"/>
            </w:pPr>
            <w:r>
              <w:rPr>
                <w:rFonts w:ascii="Times New Roman" w:hAnsi="Times New Roman"/>
                <w:kern w:val="0"/>
              </w:rPr>
              <w:t>Podzols</w:t>
            </w:r>
          </w:p>
        </w:tc>
      </w:tr>
      <w:tr w:rsidR="00BC2A6D" w14:paraId="3185918A"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4CAC6F37" w14:textId="77777777" w:rsidR="00BC2A6D" w:rsidRDefault="00000000">
            <w:pPr>
              <w:pStyle w:val="Body"/>
              <w:spacing w:after="0" w:line="240" w:lineRule="auto"/>
            </w:pPr>
            <w:r>
              <w:rPr>
                <w:rFonts w:ascii="Times New Roman" w:hAnsi="Times New Roman"/>
                <w:kern w:val="0"/>
              </w:rPr>
              <w:t>9</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0E337696" w14:textId="77777777" w:rsidR="00BC2A6D" w:rsidRDefault="00000000">
            <w:pPr>
              <w:pStyle w:val="Body"/>
              <w:spacing w:after="0" w:line="240" w:lineRule="auto"/>
            </w:pPr>
            <w:proofErr w:type="spellStart"/>
            <w:r>
              <w:rPr>
                <w:rFonts w:ascii="Times New Roman" w:hAnsi="Times New Roman"/>
                <w:kern w:val="0"/>
              </w:rPr>
              <w:t>Durisols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675917A8" w14:textId="77777777" w:rsidR="00BC2A6D" w:rsidRDefault="00000000">
            <w:pPr>
              <w:pStyle w:val="Body"/>
              <w:spacing w:after="0" w:line="240" w:lineRule="auto"/>
            </w:pPr>
            <w:r>
              <w:rPr>
                <w:rFonts w:ascii="Times New Roman" w:hAnsi="Times New Roman"/>
                <w:kern w:val="0"/>
              </w:rPr>
              <w:t>24</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5FED6697" w14:textId="77777777" w:rsidR="00BC2A6D" w:rsidRDefault="00000000">
            <w:pPr>
              <w:pStyle w:val="Body"/>
              <w:spacing w:after="0" w:line="240" w:lineRule="auto"/>
            </w:pPr>
            <w:proofErr w:type="spellStart"/>
            <w:r>
              <w:rPr>
                <w:rFonts w:ascii="Times New Roman" w:hAnsi="Times New Roman"/>
                <w:kern w:val="0"/>
              </w:rPr>
              <w:t>Regosols</w:t>
            </w:r>
            <w:proofErr w:type="spellEnd"/>
          </w:p>
        </w:tc>
      </w:tr>
      <w:tr w:rsidR="00BC2A6D" w14:paraId="2EC37AA5"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6C2D1713" w14:textId="77777777" w:rsidR="00BC2A6D" w:rsidRDefault="00000000">
            <w:pPr>
              <w:pStyle w:val="Body"/>
              <w:spacing w:after="0" w:line="240" w:lineRule="auto"/>
            </w:pPr>
            <w:r>
              <w:rPr>
                <w:rFonts w:ascii="Times New Roman" w:hAnsi="Times New Roman"/>
                <w:kern w:val="0"/>
              </w:rPr>
              <w:t>10</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18DB19BC" w14:textId="77777777" w:rsidR="00BC2A6D" w:rsidRDefault="00000000">
            <w:pPr>
              <w:pStyle w:val="Body"/>
              <w:spacing w:after="0" w:line="240" w:lineRule="auto"/>
            </w:pPr>
            <w:proofErr w:type="spellStart"/>
            <w:r>
              <w:rPr>
                <w:rFonts w:ascii="Times New Roman" w:hAnsi="Times New Roman"/>
                <w:kern w:val="0"/>
              </w:rPr>
              <w:t>Ferralsols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2876EF14" w14:textId="77777777" w:rsidR="00BC2A6D" w:rsidRDefault="00000000">
            <w:pPr>
              <w:pStyle w:val="Body"/>
              <w:spacing w:after="0" w:line="240" w:lineRule="auto"/>
            </w:pPr>
            <w:r>
              <w:rPr>
                <w:rFonts w:ascii="Times New Roman" w:hAnsi="Times New Roman"/>
                <w:kern w:val="0"/>
              </w:rPr>
              <w:t>25</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75BEAB6D" w14:textId="77777777" w:rsidR="00BC2A6D" w:rsidRDefault="00000000">
            <w:pPr>
              <w:pStyle w:val="Body"/>
              <w:spacing w:after="0" w:line="240" w:lineRule="auto"/>
            </w:pPr>
            <w:r>
              <w:rPr>
                <w:rFonts w:ascii="Times New Roman" w:hAnsi="Times New Roman"/>
                <w:kern w:val="0"/>
              </w:rPr>
              <w:t>Solonchaks</w:t>
            </w:r>
          </w:p>
        </w:tc>
      </w:tr>
      <w:tr w:rsidR="00BC2A6D" w14:paraId="3834DCDD"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1C44E422" w14:textId="77777777" w:rsidR="00BC2A6D" w:rsidRDefault="00000000">
            <w:pPr>
              <w:pStyle w:val="Body"/>
              <w:spacing w:after="0" w:line="240" w:lineRule="auto"/>
            </w:pPr>
            <w:r>
              <w:rPr>
                <w:rFonts w:ascii="Times New Roman" w:hAnsi="Times New Roman"/>
                <w:kern w:val="0"/>
              </w:rPr>
              <w:t>11</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19F0BE2D" w14:textId="77777777" w:rsidR="00BC2A6D" w:rsidRDefault="00000000">
            <w:pPr>
              <w:pStyle w:val="Body"/>
              <w:spacing w:after="0" w:line="240" w:lineRule="auto"/>
            </w:pPr>
            <w:proofErr w:type="spellStart"/>
            <w:r>
              <w:rPr>
                <w:rFonts w:ascii="Times New Roman" w:hAnsi="Times New Roman"/>
                <w:kern w:val="0"/>
              </w:rPr>
              <w:t>Fluvisols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43BC8550" w14:textId="77777777" w:rsidR="00BC2A6D" w:rsidRDefault="00000000">
            <w:pPr>
              <w:pStyle w:val="Body"/>
              <w:spacing w:after="0" w:line="240" w:lineRule="auto"/>
            </w:pPr>
            <w:r>
              <w:rPr>
                <w:rFonts w:ascii="Times New Roman" w:hAnsi="Times New Roman"/>
                <w:kern w:val="0"/>
              </w:rPr>
              <w:t>26</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3253140C" w14:textId="77777777" w:rsidR="00BC2A6D" w:rsidRDefault="00000000">
            <w:pPr>
              <w:pStyle w:val="Body"/>
              <w:spacing w:after="0" w:line="240" w:lineRule="auto"/>
            </w:pPr>
            <w:r>
              <w:rPr>
                <w:rFonts w:ascii="Times New Roman" w:hAnsi="Times New Roman"/>
                <w:kern w:val="0"/>
              </w:rPr>
              <w:t>Solonetz</w:t>
            </w:r>
          </w:p>
        </w:tc>
      </w:tr>
      <w:tr w:rsidR="00BC2A6D" w14:paraId="0CE5B4E0"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5F09CF38" w14:textId="77777777" w:rsidR="00BC2A6D" w:rsidRDefault="00000000">
            <w:pPr>
              <w:pStyle w:val="Body"/>
              <w:spacing w:after="0" w:line="240" w:lineRule="auto"/>
            </w:pPr>
            <w:r>
              <w:rPr>
                <w:rFonts w:ascii="Times New Roman" w:hAnsi="Times New Roman"/>
                <w:kern w:val="0"/>
              </w:rPr>
              <w:t>12</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165F7562" w14:textId="77777777" w:rsidR="00BC2A6D" w:rsidRDefault="00000000">
            <w:pPr>
              <w:pStyle w:val="Body"/>
              <w:spacing w:after="0" w:line="240" w:lineRule="auto"/>
            </w:pPr>
            <w:proofErr w:type="spellStart"/>
            <w:r>
              <w:rPr>
                <w:rFonts w:ascii="Times New Roman" w:hAnsi="Times New Roman"/>
                <w:kern w:val="0"/>
              </w:rPr>
              <w:t>Gleysols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6726E280" w14:textId="77777777" w:rsidR="00BC2A6D" w:rsidRDefault="00000000">
            <w:pPr>
              <w:pStyle w:val="Body"/>
              <w:spacing w:after="0" w:line="240" w:lineRule="auto"/>
            </w:pPr>
            <w:r>
              <w:rPr>
                <w:rFonts w:ascii="Times New Roman" w:hAnsi="Times New Roman"/>
                <w:kern w:val="0"/>
              </w:rPr>
              <w:t>27</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59CC47A7" w14:textId="77777777" w:rsidR="00BC2A6D" w:rsidRDefault="00000000">
            <w:pPr>
              <w:pStyle w:val="Body"/>
              <w:spacing w:after="0" w:line="240" w:lineRule="auto"/>
            </w:pPr>
            <w:proofErr w:type="spellStart"/>
            <w:r>
              <w:rPr>
                <w:rFonts w:ascii="Times New Roman" w:hAnsi="Times New Roman"/>
                <w:kern w:val="0"/>
              </w:rPr>
              <w:t>Stagnosols</w:t>
            </w:r>
            <w:proofErr w:type="spellEnd"/>
          </w:p>
        </w:tc>
      </w:tr>
      <w:tr w:rsidR="00BC2A6D" w14:paraId="6639DFA9" w14:textId="77777777">
        <w:trPr>
          <w:trHeight w:val="251"/>
        </w:trPr>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6358BBBB" w14:textId="77777777" w:rsidR="00BC2A6D" w:rsidRDefault="00000000">
            <w:pPr>
              <w:pStyle w:val="Body"/>
              <w:spacing w:after="0" w:line="240" w:lineRule="auto"/>
            </w:pPr>
            <w:r>
              <w:rPr>
                <w:rFonts w:ascii="Times New Roman" w:hAnsi="Times New Roman"/>
                <w:kern w:val="0"/>
              </w:rPr>
              <w:t>13</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5E26E447" w14:textId="77777777" w:rsidR="00BC2A6D" w:rsidRDefault="00000000">
            <w:pPr>
              <w:pStyle w:val="Body"/>
              <w:spacing w:after="0" w:line="240" w:lineRule="auto"/>
            </w:pPr>
            <w:proofErr w:type="spellStart"/>
            <w:r>
              <w:rPr>
                <w:rFonts w:ascii="Times New Roman" w:hAnsi="Times New Roman"/>
                <w:kern w:val="0"/>
              </w:rPr>
              <w:t>Gypsisols</w:t>
            </w:r>
            <w:proofErr w:type="spellEnd"/>
          </w:p>
        </w:tc>
        <w:tc>
          <w:tcPr>
            <w:tcW w:w="681" w:type="dxa"/>
            <w:tcBorders>
              <w:top w:val="nil"/>
              <w:left w:val="nil"/>
              <w:bottom w:val="nil"/>
              <w:right w:val="nil"/>
            </w:tcBorders>
            <w:shd w:val="clear" w:color="auto" w:fill="auto"/>
            <w:tcMar>
              <w:top w:w="80" w:type="dxa"/>
              <w:left w:w="80" w:type="dxa"/>
              <w:bottom w:w="80" w:type="dxa"/>
              <w:right w:w="80" w:type="dxa"/>
            </w:tcMar>
            <w:vAlign w:val="bottom"/>
          </w:tcPr>
          <w:p w14:paraId="15104E7D" w14:textId="77777777" w:rsidR="00BC2A6D" w:rsidRDefault="00000000">
            <w:pPr>
              <w:pStyle w:val="Body"/>
              <w:spacing w:after="0" w:line="240" w:lineRule="auto"/>
            </w:pPr>
            <w:r>
              <w:rPr>
                <w:rFonts w:ascii="Times New Roman" w:hAnsi="Times New Roman"/>
                <w:kern w:val="0"/>
              </w:rPr>
              <w:t>28</w:t>
            </w:r>
          </w:p>
        </w:tc>
        <w:tc>
          <w:tcPr>
            <w:tcW w:w="1460" w:type="dxa"/>
            <w:tcBorders>
              <w:top w:val="nil"/>
              <w:left w:val="nil"/>
              <w:bottom w:val="nil"/>
              <w:right w:val="nil"/>
            </w:tcBorders>
            <w:shd w:val="clear" w:color="auto" w:fill="auto"/>
            <w:tcMar>
              <w:top w:w="80" w:type="dxa"/>
              <w:left w:w="80" w:type="dxa"/>
              <w:bottom w:w="80" w:type="dxa"/>
              <w:right w:w="80" w:type="dxa"/>
            </w:tcMar>
            <w:vAlign w:val="bottom"/>
          </w:tcPr>
          <w:p w14:paraId="2D9FCAF5" w14:textId="77777777" w:rsidR="00BC2A6D" w:rsidRDefault="00000000">
            <w:pPr>
              <w:pStyle w:val="Body"/>
              <w:spacing w:after="0" w:line="240" w:lineRule="auto"/>
            </w:pPr>
            <w:proofErr w:type="spellStart"/>
            <w:r>
              <w:rPr>
                <w:rFonts w:ascii="Times New Roman" w:hAnsi="Times New Roman"/>
                <w:kern w:val="0"/>
              </w:rPr>
              <w:t>Umbrisols</w:t>
            </w:r>
            <w:proofErr w:type="spellEnd"/>
          </w:p>
        </w:tc>
      </w:tr>
      <w:tr w:rsidR="00BC2A6D" w14:paraId="0FE595EE" w14:textId="77777777">
        <w:trPr>
          <w:trHeight w:val="246"/>
        </w:trPr>
        <w:tc>
          <w:tcPr>
            <w:tcW w:w="68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55463B3F" w14:textId="77777777" w:rsidR="00BC2A6D" w:rsidRDefault="00000000">
            <w:pPr>
              <w:pStyle w:val="Body"/>
              <w:spacing w:after="0" w:line="240" w:lineRule="auto"/>
            </w:pPr>
            <w:r>
              <w:rPr>
                <w:rFonts w:ascii="Times New Roman" w:hAnsi="Times New Roman"/>
                <w:kern w:val="0"/>
              </w:rPr>
              <w:t>14</w:t>
            </w:r>
          </w:p>
        </w:tc>
        <w:tc>
          <w:tcPr>
            <w:tcW w:w="146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25BCC76" w14:textId="77777777" w:rsidR="00BC2A6D" w:rsidRDefault="00000000">
            <w:pPr>
              <w:pStyle w:val="Body"/>
              <w:spacing w:after="0" w:line="240" w:lineRule="auto"/>
            </w:pPr>
            <w:r>
              <w:rPr>
                <w:rFonts w:ascii="Times New Roman" w:hAnsi="Times New Roman"/>
                <w:kern w:val="0"/>
              </w:rPr>
              <w:t>Histosols</w:t>
            </w:r>
          </w:p>
        </w:tc>
        <w:tc>
          <w:tcPr>
            <w:tcW w:w="68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6BF85EA" w14:textId="77777777" w:rsidR="00BC2A6D" w:rsidRDefault="00000000">
            <w:pPr>
              <w:pStyle w:val="Body"/>
              <w:spacing w:after="0" w:line="240" w:lineRule="auto"/>
            </w:pPr>
            <w:r>
              <w:rPr>
                <w:rFonts w:ascii="Times New Roman" w:hAnsi="Times New Roman"/>
                <w:kern w:val="0"/>
              </w:rPr>
              <w:t>29</w:t>
            </w:r>
          </w:p>
        </w:tc>
        <w:tc>
          <w:tcPr>
            <w:tcW w:w="146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C811A95" w14:textId="77777777" w:rsidR="00BC2A6D" w:rsidRDefault="00000000">
            <w:pPr>
              <w:pStyle w:val="Body"/>
              <w:spacing w:after="0" w:line="240" w:lineRule="auto"/>
            </w:pPr>
            <w:proofErr w:type="spellStart"/>
            <w:r>
              <w:rPr>
                <w:rFonts w:ascii="Times New Roman" w:hAnsi="Times New Roman"/>
                <w:kern w:val="0"/>
              </w:rPr>
              <w:t>Vertisols</w:t>
            </w:r>
            <w:proofErr w:type="spellEnd"/>
          </w:p>
        </w:tc>
      </w:tr>
    </w:tbl>
    <w:p w14:paraId="75B59018" w14:textId="77777777" w:rsidR="00BC2A6D" w:rsidRDefault="00BC2A6D">
      <w:pPr>
        <w:pStyle w:val="Body"/>
        <w:widowControl w:val="0"/>
        <w:spacing w:after="0" w:line="240" w:lineRule="auto"/>
        <w:jc w:val="both"/>
        <w:rPr>
          <w:rFonts w:ascii="Times New Roman" w:eastAsia="Times New Roman" w:hAnsi="Times New Roman" w:cs="Times New Roman"/>
        </w:rPr>
      </w:pPr>
    </w:p>
    <w:p w14:paraId="5165D13E" w14:textId="77777777" w:rsidR="00BC2A6D" w:rsidRDefault="00BC2A6D">
      <w:pPr>
        <w:pStyle w:val="Body"/>
        <w:widowControl w:val="0"/>
        <w:spacing w:after="0" w:line="260" w:lineRule="exact"/>
        <w:jc w:val="both"/>
        <w:rPr>
          <w:rFonts w:ascii="Times New Roman" w:eastAsia="Times New Roman" w:hAnsi="Times New Roman" w:cs="Times New Roman"/>
        </w:rPr>
      </w:pPr>
    </w:p>
    <w:p w14:paraId="4A192059" w14:textId="77777777" w:rsidR="00BC2A6D" w:rsidRDefault="00BC2A6D">
      <w:pPr>
        <w:pStyle w:val="Body"/>
        <w:widowControl w:val="0"/>
        <w:spacing w:after="0" w:line="260" w:lineRule="exact"/>
        <w:jc w:val="both"/>
        <w:rPr>
          <w:rFonts w:ascii="Times New Roman" w:eastAsia="Times New Roman" w:hAnsi="Times New Roman" w:cs="Times New Roman"/>
        </w:rPr>
      </w:pPr>
    </w:p>
    <w:p w14:paraId="40FAD498" w14:textId="77777777" w:rsidR="00BC2A6D" w:rsidRDefault="00000000">
      <w:pPr>
        <w:pStyle w:val="Body"/>
        <w:widowControl w:val="0"/>
        <w:spacing w:after="0" w:line="260" w:lineRule="exact"/>
        <w:jc w:val="both"/>
        <w:rPr>
          <w:rFonts w:ascii="Times New Roman" w:eastAsia="Times New Roman" w:hAnsi="Times New Roman" w:cs="Times New Roman"/>
        </w:rPr>
      </w:pPr>
      <w:r>
        <w:rPr>
          <w:rFonts w:ascii="Times New Roman" w:hAnsi="Times New Roman"/>
        </w:rPr>
        <w:lastRenderedPageBreak/>
        <w:t>Supplementary Table 3:   Landform classes</w:t>
      </w:r>
    </w:p>
    <w:p w14:paraId="71BA9206" w14:textId="77777777" w:rsidR="00BC2A6D" w:rsidRDefault="00BC2A6D">
      <w:pPr>
        <w:pStyle w:val="Body"/>
        <w:widowControl w:val="0"/>
        <w:spacing w:after="0" w:line="260" w:lineRule="exact"/>
        <w:jc w:val="both"/>
        <w:rPr>
          <w:rFonts w:ascii="Times New Roman" w:eastAsia="Times New Roman" w:hAnsi="Times New Roman" w:cs="Times New Roman"/>
        </w:rPr>
      </w:pPr>
    </w:p>
    <w:tbl>
      <w:tblPr>
        <w:tblW w:w="49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420"/>
        <w:gridCol w:w="1540"/>
      </w:tblGrid>
      <w:tr w:rsidR="00BC2A6D" w14:paraId="596B9964" w14:textId="77777777">
        <w:trPr>
          <w:trHeight w:val="241"/>
        </w:trPr>
        <w:tc>
          <w:tcPr>
            <w:tcW w:w="342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1D80E2F9" w14:textId="77777777" w:rsidR="00BC2A6D" w:rsidRDefault="00000000">
            <w:pPr>
              <w:pStyle w:val="Body"/>
              <w:spacing w:after="0" w:line="240" w:lineRule="auto"/>
            </w:pPr>
            <w:r>
              <w:rPr>
                <w:rFonts w:ascii="Times New Roman" w:hAnsi="Times New Roman"/>
                <w:kern w:val="0"/>
              </w:rPr>
              <w:t>Landform classes</w:t>
            </w:r>
          </w:p>
        </w:tc>
        <w:tc>
          <w:tcPr>
            <w:tcW w:w="15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bottom"/>
          </w:tcPr>
          <w:p w14:paraId="7490286B" w14:textId="77777777" w:rsidR="00BC2A6D" w:rsidRDefault="00000000">
            <w:pPr>
              <w:pStyle w:val="Body"/>
              <w:spacing w:after="0" w:line="240" w:lineRule="auto"/>
            </w:pPr>
            <w:r>
              <w:rPr>
                <w:rFonts w:ascii="Times New Roman" w:hAnsi="Times New Roman"/>
                <w:kern w:val="0"/>
              </w:rPr>
              <w:t>Abbreviation</w:t>
            </w:r>
          </w:p>
        </w:tc>
      </w:tr>
      <w:tr w:rsidR="00BC2A6D" w14:paraId="5FEA8342" w14:textId="77777777">
        <w:trPr>
          <w:trHeight w:val="246"/>
        </w:trPr>
        <w:tc>
          <w:tcPr>
            <w:tcW w:w="342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E8695F" w14:textId="77777777" w:rsidR="00BC2A6D" w:rsidRDefault="00000000">
            <w:pPr>
              <w:pStyle w:val="Body"/>
              <w:spacing w:after="0" w:line="240" w:lineRule="auto"/>
            </w:pPr>
            <w:r>
              <w:rPr>
                <w:rFonts w:ascii="Times New Roman" w:hAnsi="Times New Roman"/>
                <w:kern w:val="0"/>
              </w:rPr>
              <w:t>Mountain summit</w:t>
            </w:r>
          </w:p>
        </w:tc>
        <w:tc>
          <w:tcPr>
            <w:tcW w:w="1540" w:type="dxa"/>
            <w:tcBorders>
              <w:top w:val="single" w:sz="4" w:space="0" w:color="000000"/>
              <w:left w:val="nil"/>
              <w:bottom w:val="nil"/>
              <w:right w:val="nil"/>
            </w:tcBorders>
            <w:shd w:val="clear" w:color="auto" w:fill="auto"/>
            <w:tcMar>
              <w:top w:w="80" w:type="dxa"/>
              <w:left w:w="80" w:type="dxa"/>
              <w:bottom w:w="80" w:type="dxa"/>
              <w:right w:w="80" w:type="dxa"/>
            </w:tcMar>
            <w:vAlign w:val="bottom"/>
          </w:tcPr>
          <w:p w14:paraId="621F2565" w14:textId="77777777" w:rsidR="00BC2A6D" w:rsidRDefault="00000000">
            <w:pPr>
              <w:pStyle w:val="Body"/>
              <w:spacing w:after="0" w:line="240" w:lineRule="auto"/>
            </w:pPr>
            <w:proofErr w:type="spellStart"/>
            <w:r>
              <w:rPr>
                <w:rFonts w:ascii="Times New Roman" w:hAnsi="Times New Roman"/>
                <w:kern w:val="0"/>
              </w:rPr>
              <w:t>Mtn_sumt</w:t>
            </w:r>
            <w:proofErr w:type="spellEnd"/>
          </w:p>
        </w:tc>
      </w:tr>
      <w:tr w:rsidR="00BC2A6D" w14:paraId="3EDE7A0F"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42BA6693" w14:textId="77777777" w:rsidR="00BC2A6D" w:rsidRDefault="00000000">
            <w:pPr>
              <w:pStyle w:val="Body"/>
              <w:spacing w:after="0" w:line="240" w:lineRule="auto"/>
            </w:pPr>
            <w:r>
              <w:rPr>
                <w:rFonts w:ascii="Times New Roman" w:hAnsi="Times New Roman"/>
                <w:kern w:val="0"/>
              </w:rPr>
              <w:t>Cliff slope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03FDE8F4" w14:textId="77777777" w:rsidR="00BC2A6D" w:rsidRDefault="00000000">
            <w:pPr>
              <w:pStyle w:val="Body"/>
              <w:spacing w:after="0" w:line="240" w:lineRule="auto"/>
            </w:pPr>
            <w:proofErr w:type="spellStart"/>
            <w:r>
              <w:rPr>
                <w:rFonts w:ascii="Times New Roman" w:hAnsi="Times New Roman"/>
                <w:kern w:val="0"/>
              </w:rPr>
              <w:t>Cliff_sl</w:t>
            </w:r>
            <w:proofErr w:type="spellEnd"/>
          </w:p>
        </w:tc>
      </w:tr>
      <w:tr w:rsidR="00BC2A6D" w14:paraId="37DFE752"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77FD6BBC" w14:textId="77777777" w:rsidR="00BC2A6D" w:rsidRDefault="00000000">
            <w:pPr>
              <w:pStyle w:val="Body"/>
              <w:spacing w:after="0" w:line="240" w:lineRule="auto"/>
            </w:pPr>
            <w:r>
              <w:rPr>
                <w:rFonts w:ascii="Times New Roman" w:hAnsi="Times New Roman"/>
                <w:kern w:val="0"/>
              </w:rPr>
              <w:t>Lower/hilly mountain</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501B06C7" w14:textId="77777777" w:rsidR="00BC2A6D" w:rsidRDefault="00000000">
            <w:pPr>
              <w:pStyle w:val="Body"/>
              <w:spacing w:after="0" w:line="240" w:lineRule="auto"/>
            </w:pPr>
            <w:proofErr w:type="spellStart"/>
            <w:r>
              <w:rPr>
                <w:rFonts w:ascii="Times New Roman" w:hAnsi="Times New Roman"/>
                <w:kern w:val="0"/>
              </w:rPr>
              <w:t>Lwhi_mtn</w:t>
            </w:r>
            <w:proofErr w:type="spellEnd"/>
          </w:p>
        </w:tc>
      </w:tr>
      <w:tr w:rsidR="00BC2A6D" w14:paraId="767431F3"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23BA0544" w14:textId="77777777" w:rsidR="00BC2A6D" w:rsidRDefault="00000000">
            <w:pPr>
              <w:pStyle w:val="Body"/>
              <w:spacing w:after="0" w:line="240" w:lineRule="auto"/>
            </w:pPr>
            <w:r>
              <w:rPr>
                <w:rFonts w:ascii="Times New Roman" w:hAnsi="Times New Roman"/>
                <w:kern w:val="0"/>
              </w:rPr>
              <w:t>Steep hills / dissected cliff slope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3268B854" w14:textId="77777777" w:rsidR="00BC2A6D" w:rsidRDefault="00000000">
            <w:pPr>
              <w:pStyle w:val="Body"/>
              <w:spacing w:after="0" w:line="240" w:lineRule="auto"/>
            </w:pPr>
            <w:proofErr w:type="spellStart"/>
            <w:r>
              <w:rPr>
                <w:rFonts w:ascii="Times New Roman" w:hAnsi="Times New Roman"/>
                <w:kern w:val="0"/>
              </w:rPr>
              <w:t>Shills_dcsl</w:t>
            </w:r>
            <w:proofErr w:type="spellEnd"/>
          </w:p>
        </w:tc>
      </w:tr>
      <w:tr w:rsidR="00BC2A6D" w14:paraId="0BDBF0A0"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62AD2366" w14:textId="77777777" w:rsidR="00BC2A6D" w:rsidRDefault="00000000">
            <w:pPr>
              <w:pStyle w:val="Body"/>
              <w:spacing w:after="0" w:line="240" w:lineRule="auto"/>
            </w:pPr>
            <w:r>
              <w:rPr>
                <w:rFonts w:ascii="Times New Roman" w:hAnsi="Times New Roman"/>
                <w:kern w:val="0"/>
              </w:rPr>
              <w:t>Large highland slope steep</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2733DE17" w14:textId="77777777" w:rsidR="00BC2A6D" w:rsidRDefault="00000000">
            <w:pPr>
              <w:pStyle w:val="Body"/>
              <w:spacing w:after="0" w:line="240" w:lineRule="auto"/>
            </w:pPr>
            <w:proofErr w:type="spellStart"/>
            <w:r>
              <w:rPr>
                <w:rFonts w:ascii="Times New Roman" w:hAnsi="Times New Roman"/>
                <w:kern w:val="0"/>
              </w:rPr>
              <w:t>Lhgsl_steep</w:t>
            </w:r>
            <w:proofErr w:type="spellEnd"/>
          </w:p>
        </w:tc>
      </w:tr>
      <w:tr w:rsidR="00BC2A6D" w14:paraId="18A37252"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0FAADC8E" w14:textId="77777777" w:rsidR="00BC2A6D" w:rsidRDefault="00000000">
            <w:pPr>
              <w:pStyle w:val="Body"/>
              <w:spacing w:after="0" w:line="240" w:lineRule="auto"/>
            </w:pPr>
            <w:r>
              <w:rPr>
                <w:rFonts w:ascii="Times New Roman" w:hAnsi="Times New Roman"/>
                <w:kern w:val="0"/>
              </w:rPr>
              <w:t>Large highland slope moderate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28DBF06E" w14:textId="77777777" w:rsidR="00BC2A6D" w:rsidRDefault="00000000">
            <w:pPr>
              <w:pStyle w:val="Body"/>
              <w:spacing w:after="0" w:line="240" w:lineRule="auto"/>
            </w:pPr>
            <w:proofErr w:type="spellStart"/>
            <w:r>
              <w:rPr>
                <w:rFonts w:ascii="Times New Roman" w:hAnsi="Times New Roman"/>
                <w:kern w:val="0"/>
              </w:rPr>
              <w:t>Lhgsl_mod</w:t>
            </w:r>
            <w:proofErr w:type="spellEnd"/>
          </w:p>
        </w:tc>
      </w:tr>
      <w:tr w:rsidR="00BC2A6D" w14:paraId="1C5C8BE3"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51657CC5" w14:textId="77777777" w:rsidR="00BC2A6D" w:rsidRDefault="00000000">
            <w:pPr>
              <w:pStyle w:val="Body"/>
              <w:spacing w:after="0" w:line="240" w:lineRule="auto"/>
            </w:pPr>
            <w:r>
              <w:rPr>
                <w:rFonts w:ascii="Times New Roman" w:hAnsi="Times New Roman"/>
                <w:kern w:val="0"/>
              </w:rPr>
              <w:t>Mountain valley slope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3D706842" w14:textId="77777777" w:rsidR="00BC2A6D" w:rsidRDefault="00000000">
            <w:pPr>
              <w:pStyle w:val="Body"/>
              <w:spacing w:after="0" w:line="240" w:lineRule="auto"/>
            </w:pPr>
            <w:proofErr w:type="spellStart"/>
            <w:r>
              <w:rPr>
                <w:rFonts w:ascii="Times New Roman" w:hAnsi="Times New Roman"/>
                <w:kern w:val="0"/>
              </w:rPr>
              <w:t>Mtn_vs</w:t>
            </w:r>
            <w:proofErr w:type="spellEnd"/>
          </w:p>
        </w:tc>
      </w:tr>
      <w:tr w:rsidR="00BC2A6D" w14:paraId="4EEF811B"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256F4A20" w14:textId="77777777" w:rsidR="00BC2A6D" w:rsidRDefault="00000000">
            <w:pPr>
              <w:pStyle w:val="Body"/>
              <w:spacing w:after="0" w:line="240" w:lineRule="auto"/>
            </w:pPr>
            <w:r>
              <w:rPr>
                <w:rFonts w:ascii="Times New Roman" w:hAnsi="Times New Roman"/>
                <w:kern w:val="0"/>
              </w:rPr>
              <w:t>Moderate hills</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397B6C1E" w14:textId="77777777" w:rsidR="00BC2A6D" w:rsidRDefault="00000000">
            <w:pPr>
              <w:pStyle w:val="Body"/>
              <w:spacing w:after="0" w:line="240" w:lineRule="auto"/>
            </w:pPr>
            <w:proofErr w:type="spellStart"/>
            <w:r>
              <w:rPr>
                <w:rFonts w:ascii="Times New Roman" w:hAnsi="Times New Roman"/>
                <w:kern w:val="0"/>
              </w:rPr>
              <w:t>Mod_hills</w:t>
            </w:r>
            <w:proofErr w:type="spellEnd"/>
          </w:p>
        </w:tc>
      </w:tr>
      <w:tr w:rsidR="00BC2A6D" w14:paraId="20BBB62B"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5538CA37" w14:textId="77777777" w:rsidR="00BC2A6D" w:rsidRDefault="00000000">
            <w:pPr>
              <w:pStyle w:val="Body"/>
              <w:spacing w:after="0" w:line="240" w:lineRule="auto"/>
            </w:pPr>
            <w:r>
              <w:rPr>
                <w:rFonts w:ascii="Times New Roman" w:hAnsi="Times New Roman"/>
                <w:kern w:val="0"/>
              </w:rPr>
              <w:t>Terrace/fan/plateau (high, dissected)</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7EB27EE9" w14:textId="77777777" w:rsidR="00BC2A6D" w:rsidRDefault="00000000">
            <w:pPr>
              <w:pStyle w:val="Body"/>
              <w:spacing w:after="0" w:line="240" w:lineRule="auto"/>
            </w:pPr>
            <w:proofErr w:type="spellStart"/>
            <w:r>
              <w:rPr>
                <w:rFonts w:ascii="Times New Roman" w:hAnsi="Times New Roman"/>
                <w:kern w:val="0"/>
              </w:rPr>
              <w:t>Tfphi_dis</w:t>
            </w:r>
            <w:proofErr w:type="spellEnd"/>
          </w:p>
        </w:tc>
      </w:tr>
      <w:tr w:rsidR="00BC2A6D" w14:paraId="51934A04"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5C485D78" w14:textId="77777777" w:rsidR="00BC2A6D" w:rsidRDefault="00000000">
            <w:pPr>
              <w:pStyle w:val="Body"/>
              <w:spacing w:after="0" w:line="240" w:lineRule="auto"/>
            </w:pPr>
            <w:r>
              <w:rPr>
                <w:rFonts w:ascii="Times New Roman" w:hAnsi="Times New Roman"/>
                <w:kern w:val="0"/>
              </w:rPr>
              <w:t>Terrace/fan/plateau (high, surface)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5F36BA3B" w14:textId="77777777" w:rsidR="00BC2A6D" w:rsidRDefault="00000000">
            <w:pPr>
              <w:pStyle w:val="Body"/>
              <w:spacing w:after="0" w:line="240" w:lineRule="auto"/>
            </w:pPr>
            <w:proofErr w:type="spellStart"/>
            <w:r>
              <w:rPr>
                <w:rFonts w:ascii="Times New Roman" w:hAnsi="Times New Roman"/>
                <w:kern w:val="0"/>
              </w:rPr>
              <w:t>Tfphi_surf</w:t>
            </w:r>
            <w:proofErr w:type="spellEnd"/>
          </w:p>
        </w:tc>
      </w:tr>
      <w:tr w:rsidR="00BC2A6D" w14:paraId="5E226E37"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1A8B5A77" w14:textId="77777777" w:rsidR="00BC2A6D" w:rsidRDefault="00000000">
            <w:pPr>
              <w:pStyle w:val="Body"/>
              <w:spacing w:after="0" w:line="240" w:lineRule="auto"/>
            </w:pPr>
            <w:r>
              <w:rPr>
                <w:rFonts w:ascii="Times New Roman" w:hAnsi="Times New Roman"/>
                <w:kern w:val="0"/>
              </w:rPr>
              <w:t>Valley slope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6F1A46FE" w14:textId="77777777" w:rsidR="00BC2A6D" w:rsidRDefault="00000000">
            <w:pPr>
              <w:pStyle w:val="Body"/>
              <w:spacing w:after="0" w:line="240" w:lineRule="auto"/>
            </w:pPr>
            <w:proofErr w:type="spellStart"/>
            <w:r>
              <w:rPr>
                <w:rFonts w:ascii="Times New Roman" w:hAnsi="Times New Roman"/>
                <w:kern w:val="0"/>
              </w:rPr>
              <w:t>Val_sl</w:t>
            </w:r>
            <w:proofErr w:type="spellEnd"/>
          </w:p>
        </w:tc>
      </w:tr>
      <w:tr w:rsidR="00BC2A6D" w14:paraId="2713DBC4"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69EB1C34" w14:textId="77777777" w:rsidR="00BC2A6D" w:rsidRDefault="00000000">
            <w:pPr>
              <w:pStyle w:val="Body"/>
              <w:spacing w:after="0" w:line="240" w:lineRule="auto"/>
            </w:pPr>
            <w:r>
              <w:rPr>
                <w:rFonts w:ascii="Times New Roman" w:hAnsi="Times New Roman"/>
                <w:kern w:val="0"/>
              </w:rPr>
              <w:t>Terrace/fan/plateau (low, dissected)</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7BA5EA21" w14:textId="77777777" w:rsidR="00BC2A6D" w:rsidRDefault="00000000">
            <w:pPr>
              <w:pStyle w:val="Body"/>
              <w:spacing w:after="0" w:line="240" w:lineRule="auto"/>
            </w:pPr>
            <w:proofErr w:type="spellStart"/>
            <w:r>
              <w:rPr>
                <w:rFonts w:ascii="Times New Roman" w:hAnsi="Times New Roman"/>
                <w:kern w:val="0"/>
              </w:rPr>
              <w:t>Tfplw_dis</w:t>
            </w:r>
            <w:proofErr w:type="spellEnd"/>
          </w:p>
        </w:tc>
      </w:tr>
      <w:tr w:rsidR="00BC2A6D" w14:paraId="7BD29058"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3FE2B7B5" w14:textId="77777777" w:rsidR="00BC2A6D" w:rsidRPr="009800E7" w:rsidRDefault="00000000">
            <w:pPr>
              <w:pStyle w:val="Body"/>
              <w:spacing w:after="0" w:line="240" w:lineRule="auto"/>
              <w:rPr>
                <w:lang w:val="fr-FR"/>
              </w:rPr>
            </w:pPr>
            <w:r>
              <w:rPr>
                <w:rFonts w:ascii="Times New Roman" w:hAnsi="Times New Roman"/>
                <w:kern w:val="0"/>
                <w:lang w:val="fr-FR"/>
              </w:rPr>
              <w:t>Terrace/fan/plateau (</w:t>
            </w:r>
            <w:proofErr w:type="spellStart"/>
            <w:r>
              <w:rPr>
                <w:rFonts w:ascii="Times New Roman" w:hAnsi="Times New Roman"/>
                <w:kern w:val="0"/>
                <w:lang w:val="fr-FR"/>
              </w:rPr>
              <w:t>low</w:t>
            </w:r>
            <w:proofErr w:type="spellEnd"/>
            <w:r>
              <w:rPr>
                <w:rFonts w:ascii="Times New Roman" w:hAnsi="Times New Roman"/>
                <w:kern w:val="0"/>
                <w:lang w:val="fr-FR"/>
              </w:rPr>
              <w:t>, surface)</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77AE7BDC" w14:textId="77777777" w:rsidR="00BC2A6D" w:rsidRDefault="00000000">
            <w:pPr>
              <w:pStyle w:val="Body"/>
              <w:spacing w:after="0" w:line="240" w:lineRule="auto"/>
            </w:pPr>
            <w:proofErr w:type="spellStart"/>
            <w:r>
              <w:rPr>
                <w:rFonts w:ascii="Times New Roman" w:hAnsi="Times New Roman"/>
                <w:kern w:val="0"/>
              </w:rPr>
              <w:t>Tfplw_surf</w:t>
            </w:r>
            <w:proofErr w:type="spellEnd"/>
          </w:p>
        </w:tc>
      </w:tr>
      <w:tr w:rsidR="00BC2A6D" w14:paraId="16E58B59" w14:textId="77777777">
        <w:trPr>
          <w:trHeight w:val="251"/>
        </w:trPr>
        <w:tc>
          <w:tcPr>
            <w:tcW w:w="3420" w:type="dxa"/>
            <w:tcBorders>
              <w:top w:val="nil"/>
              <w:left w:val="nil"/>
              <w:bottom w:val="nil"/>
              <w:right w:val="nil"/>
            </w:tcBorders>
            <w:shd w:val="clear" w:color="auto" w:fill="auto"/>
            <w:tcMar>
              <w:top w:w="80" w:type="dxa"/>
              <w:left w:w="80" w:type="dxa"/>
              <w:bottom w:w="80" w:type="dxa"/>
              <w:right w:w="80" w:type="dxa"/>
            </w:tcMar>
            <w:vAlign w:val="bottom"/>
          </w:tcPr>
          <w:p w14:paraId="57F86FB0" w14:textId="77777777" w:rsidR="00BC2A6D" w:rsidRDefault="00000000">
            <w:pPr>
              <w:pStyle w:val="Body"/>
              <w:spacing w:after="0" w:line="240" w:lineRule="auto"/>
            </w:pPr>
            <w:r>
              <w:rPr>
                <w:rFonts w:ascii="Times New Roman" w:hAnsi="Times New Roman"/>
                <w:kern w:val="0"/>
              </w:rPr>
              <w:t>High plain (Sinks &lt; 50%)</w:t>
            </w:r>
          </w:p>
        </w:tc>
        <w:tc>
          <w:tcPr>
            <w:tcW w:w="1540" w:type="dxa"/>
            <w:tcBorders>
              <w:top w:val="nil"/>
              <w:left w:val="nil"/>
              <w:bottom w:val="nil"/>
              <w:right w:val="nil"/>
            </w:tcBorders>
            <w:shd w:val="clear" w:color="auto" w:fill="auto"/>
            <w:tcMar>
              <w:top w:w="80" w:type="dxa"/>
              <w:left w:w="80" w:type="dxa"/>
              <w:bottom w:w="80" w:type="dxa"/>
              <w:right w:w="80" w:type="dxa"/>
            </w:tcMar>
            <w:vAlign w:val="bottom"/>
          </w:tcPr>
          <w:p w14:paraId="70E1862E" w14:textId="77777777" w:rsidR="00BC2A6D" w:rsidRDefault="00000000">
            <w:pPr>
              <w:pStyle w:val="Body"/>
              <w:spacing w:after="0" w:line="240" w:lineRule="auto"/>
            </w:pPr>
            <w:proofErr w:type="spellStart"/>
            <w:r>
              <w:rPr>
                <w:rFonts w:ascii="Times New Roman" w:hAnsi="Times New Roman"/>
                <w:kern w:val="0"/>
              </w:rPr>
              <w:t>Hi_plain</w:t>
            </w:r>
            <w:proofErr w:type="spellEnd"/>
          </w:p>
        </w:tc>
      </w:tr>
      <w:tr w:rsidR="00BC2A6D" w14:paraId="41BF199F" w14:textId="77777777">
        <w:trPr>
          <w:trHeight w:val="246"/>
        </w:trPr>
        <w:tc>
          <w:tcPr>
            <w:tcW w:w="342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F1F99E3" w14:textId="77777777" w:rsidR="00BC2A6D" w:rsidRDefault="00000000">
            <w:pPr>
              <w:pStyle w:val="Body"/>
              <w:spacing w:after="0" w:line="240" w:lineRule="auto"/>
            </w:pPr>
            <w:r>
              <w:rPr>
                <w:rFonts w:ascii="Times New Roman" w:hAnsi="Times New Roman"/>
                <w:kern w:val="0"/>
              </w:rPr>
              <w:t xml:space="preserve"> Low plain (Sinks &lt; 50%)</w:t>
            </w:r>
          </w:p>
        </w:tc>
        <w:tc>
          <w:tcPr>
            <w:tcW w:w="154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A5FA162" w14:textId="77777777" w:rsidR="00BC2A6D" w:rsidRDefault="00000000">
            <w:pPr>
              <w:pStyle w:val="Body"/>
              <w:spacing w:after="0" w:line="240" w:lineRule="auto"/>
            </w:pPr>
            <w:proofErr w:type="spellStart"/>
            <w:r>
              <w:rPr>
                <w:rFonts w:ascii="Times New Roman" w:hAnsi="Times New Roman"/>
                <w:kern w:val="0"/>
              </w:rPr>
              <w:t>Lw_plain</w:t>
            </w:r>
            <w:proofErr w:type="spellEnd"/>
          </w:p>
        </w:tc>
      </w:tr>
    </w:tbl>
    <w:p w14:paraId="5B46CDB0" w14:textId="77777777" w:rsidR="00BC2A6D" w:rsidRDefault="00BC2A6D">
      <w:pPr>
        <w:pStyle w:val="Body"/>
        <w:widowControl w:val="0"/>
        <w:spacing w:after="0" w:line="240" w:lineRule="auto"/>
        <w:jc w:val="both"/>
      </w:pPr>
    </w:p>
    <w:sectPr w:rsidR="00BC2A6D">
      <w:headerReference w:type="default" r:id="rId19"/>
      <w:pgSz w:w="11900" w:h="1588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ziamehrabi" w:date="2025-10-14T08:31:00Z" w:initials="">
    <w:p w14:paraId="638A0E1C" w14:textId="77777777" w:rsidR="00BC2A6D" w:rsidRDefault="00BC2A6D">
      <w:pPr>
        <w:pStyle w:val="Default"/>
      </w:pPr>
    </w:p>
    <w:p w14:paraId="424C36FE" w14:textId="77777777" w:rsidR="00BC2A6D" w:rsidRDefault="00000000">
      <w:pPr>
        <w:pStyle w:val="Default"/>
      </w:pPr>
      <w:r>
        <w:rPr>
          <w:rFonts w:eastAsia="Arial Unicode MS" w:cs="Arial Unicode MS"/>
        </w:rPr>
        <w:t>If the key point of the paper is exploring heterogeneity, is this what you want to take up room in abstract with? Maybe diving into heterogeneity is what matters. These other results are known.</w:t>
      </w:r>
    </w:p>
  </w:comment>
  <w:comment w:id="1" w:author="ziamehrabi" w:date="2025-10-14T08:33:00Z" w:initials="">
    <w:p w14:paraId="00E67A8E" w14:textId="77777777" w:rsidR="00BC2A6D" w:rsidRDefault="00BC2A6D">
      <w:pPr>
        <w:pStyle w:val="Default"/>
      </w:pPr>
    </w:p>
    <w:p w14:paraId="24F8499E" w14:textId="77777777" w:rsidR="00BC2A6D" w:rsidRDefault="00000000">
      <w:pPr>
        <w:pStyle w:val="Default"/>
      </w:pPr>
      <w:r>
        <w:rPr>
          <w:rFonts w:eastAsia="Arial Unicode MS" w:cs="Arial Unicode MS"/>
        </w:rPr>
        <w:t>This result is already known e.g. Pittelkow et al. 2014</w:t>
      </w:r>
    </w:p>
  </w:comment>
  <w:comment w:id="3" w:author="ziamehrabi" w:date="2025-10-14T08:31:00Z" w:initials="">
    <w:p w14:paraId="6F141C74" w14:textId="77777777" w:rsidR="009800E7" w:rsidRDefault="009800E7" w:rsidP="009800E7">
      <w:pPr>
        <w:pStyle w:val="Default"/>
      </w:pPr>
    </w:p>
    <w:p w14:paraId="7194747D" w14:textId="77777777" w:rsidR="009800E7" w:rsidRDefault="009800E7" w:rsidP="009800E7">
      <w:pPr>
        <w:pStyle w:val="Default"/>
      </w:pPr>
      <w:r>
        <w:rPr>
          <w:rFonts w:eastAsia="Arial Unicode MS" w:cs="Arial Unicode MS"/>
        </w:rPr>
        <w:t>If the key point of the paper is exploring heterogeneity, is this what you want to take up room in abstract with? Maybe diving into heterogeneity is what matters. These other results are known.</w:t>
      </w:r>
    </w:p>
  </w:comment>
  <w:comment w:id="6" w:author="ziamehrabi" w:date="2025-10-14T08:38:00Z" w:initials="">
    <w:p w14:paraId="09E6E715" w14:textId="77777777" w:rsidR="00BC2A6D" w:rsidRDefault="00BC2A6D">
      <w:pPr>
        <w:pStyle w:val="Default"/>
      </w:pPr>
    </w:p>
    <w:p w14:paraId="7A3BCA18" w14:textId="77777777" w:rsidR="00BC2A6D" w:rsidRDefault="00000000">
      <w:pPr>
        <w:pStyle w:val="Default"/>
      </w:pPr>
      <w:r>
        <w:rPr>
          <w:rFonts w:eastAsia="Arial Unicode MS" w:cs="Arial Unicode MS"/>
        </w:rPr>
        <w:t>Arguably these cannot all fill the gaps. Take soils for example soilGRID performs extremely poorly for mapping the above soil parameters..(!)</w:t>
      </w:r>
    </w:p>
  </w:comment>
  <w:comment w:id="7" w:author="ziamehrabi" w:date="2025-10-14T08:39:00Z" w:initials="">
    <w:p w14:paraId="62C50722" w14:textId="77777777" w:rsidR="00BC2A6D" w:rsidRDefault="00BC2A6D">
      <w:pPr>
        <w:pStyle w:val="Default"/>
      </w:pPr>
    </w:p>
    <w:p w14:paraId="3BAF8C7A" w14:textId="77777777" w:rsidR="00BC2A6D" w:rsidRDefault="00000000">
      <w:pPr>
        <w:pStyle w:val="Default"/>
      </w:pPr>
      <w:r>
        <w:rPr>
          <w:rFonts w:eastAsia="Arial Unicode MS" w:cs="Arial Unicode MS"/>
        </w:rPr>
        <w:t>I would temper this. There is massive uncertainty and for soils the output is not localized and really poor.</w:t>
      </w:r>
    </w:p>
  </w:comment>
  <w:comment w:id="10" w:author="ziamehrabi" w:date="2025-10-14T08:43:00Z" w:initials="">
    <w:p w14:paraId="58ACF817" w14:textId="77777777" w:rsidR="00BC2A6D" w:rsidRDefault="00BC2A6D">
      <w:pPr>
        <w:pStyle w:val="Default"/>
      </w:pPr>
    </w:p>
    <w:p w14:paraId="7EB6670A" w14:textId="77777777" w:rsidR="00BC2A6D" w:rsidRDefault="00000000">
      <w:pPr>
        <w:pStyle w:val="Default"/>
      </w:pPr>
      <w:r>
        <w:rPr>
          <w:rFonts w:eastAsia="Arial Unicode MS" w:cs="Arial Unicode MS"/>
        </w:rPr>
        <w:t>Seems to me that there is missing key initiatives doing this like</w:t>
      </w:r>
    </w:p>
    <w:p w14:paraId="369BDEEC" w14:textId="77777777" w:rsidR="00BC2A6D" w:rsidRDefault="00BC2A6D">
      <w:pPr>
        <w:pStyle w:val="Default"/>
      </w:pPr>
    </w:p>
    <w:p w14:paraId="14C3D9FB" w14:textId="77777777" w:rsidR="00BC2A6D" w:rsidRDefault="00000000">
      <w:pPr>
        <w:pStyle w:val="Default"/>
      </w:pPr>
      <w:r>
        <w:rPr>
          <w:rFonts w:eastAsia="Arial Unicode MS" w:cs="Arial Unicode MS"/>
        </w:rPr>
        <w:t xml:space="preserve">And also https://observablehq.com/d/4376f4ef36b430d2 </w:t>
      </w:r>
    </w:p>
    <w:p w14:paraId="388E2848" w14:textId="77777777" w:rsidR="00BC2A6D" w:rsidRDefault="00BC2A6D">
      <w:pPr>
        <w:pStyle w:val="Default"/>
      </w:pPr>
    </w:p>
    <w:p w14:paraId="40AC318A" w14:textId="77777777" w:rsidR="00BC2A6D" w:rsidRDefault="00000000">
      <w:pPr>
        <w:pStyle w:val="Default"/>
      </w:pPr>
      <w:r>
        <w:rPr>
          <w:rFonts w:eastAsia="Arial Unicode MS" w:cs="Arial Unicode MS"/>
        </w:rPr>
        <w:t>CGIAR has a interpolated products for many crops/management practices across Africa.</w:t>
      </w:r>
    </w:p>
    <w:p w14:paraId="28F55DBD" w14:textId="77777777" w:rsidR="00BC2A6D" w:rsidRDefault="00BC2A6D">
      <w:pPr>
        <w:pStyle w:val="Default"/>
      </w:pPr>
    </w:p>
    <w:p w14:paraId="6819F6FF" w14:textId="77777777" w:rsidR="00BC2A6D" w:rsidRDefault="00000000">
      <w:pPr>
        <w:pStyle w:val="Default"/>
      </w:pPr>
      <w:r>
        <w:rPr>
          <w:rFonts w:eastAsia="Arial Unicode MS" w:cs="Arial Unicode MS"/>
        </w:rPr>
        <w:t>https://www.frontiersin.org/journals/environmental-science/articles/10.3389/fenvs.2022.812648/full</w:t>
      </w:r>
    </w:p>
    <w:p w14:paraId="47257E96" w14:textId="77777777" w:rsidR="00BC2A6D" w:rsidRDefault="00BC2A6D">
      <w:pPr>
        <w:pStyle w:val="Default"/>
      </w:pPr>
    </w:p>
    <w:p w14:paraId="04761431" w14:textId="77777777" w:rsidR="00BC2A6D" w:rsidRDefault="00000000">
      <w:pPr>
        <w:pStyle w:val="Default"/>
      </w:pPr>
      <w:r>
        <w:rPr>
          <w:rFonts w:eastAsia="Arial Unicode MS" w:cs="Arial Unicode MS"/>
        </w:rPr>
        <w:t>https://www.nature.com/articles/s41558-021-01075-w</w:t>
      </w:r>
    </w:p>
    <w:p w14:paraId="40F14B28" w14:textId="77777777" w:rsidR="00BC2A6D" w:rsidRDefault="00BC2A6D">
      <w:pPr>
        <w:pStyle w:val="Default"/>
      </w:pPr>
    </w:p>
    <w:p w14:paraId="03DD0F95" w14:textId="77777777" w:rsidR="00BC2A6D" w:rsidRDefault="00BC2A6D">
      <w:pPr>
        <w:pStyle w:val="Default"/>
      </w:pPr>
    </w:p>
    <w:p w14:paraId="52AB76A2" w14:textId="77777777" w:rsidR="00BC2A6D" w:rsidRDefault="00000000">
      <w:pPr>
        <w:pStyle w:val="Default"/>
      </w:pPr>
      <w:r>
        <w:rPr>
          <w:rFonts w:eastAsia="Arial Unicode MS" w:cs="Arial Unicode MS"/>
        </w:rPr>
        <w:t>https://cgspace.cgiar.org/items/44e56ada-69e5-470a-ab0a-f06333c4ec5b</w:t>
      </w:r>
    </w:p>
    <w:p w14:paraId="16F304D6" w14:textId="77777777" w:rsidR="00BC2A6D" w:rsidRDefault="00BC2A6D">
      <w:pPr>
        <w:pStyle w:val="Default"/>
      </w:pPr>
    </w:p>
    <w:p w14:paraId="040D535F" w14:textId="77777777" w:rsidR="00BC2A6D" w:rsidRDefault="00BC2A6D">
      <w:pPr>
        <w:pStyle w:val="Default"/>
      </w:pPr>
    </w:p>
    <w:p w14:paraId="0E441DE2" w14:textId="77777777" w:rsidR="00BC2A6D" w:rsidRDefault="00000000">
      <w:pPr>
        <w:pStyle w:val="Default"/>
      </w:pPr>
      <w:r>
        <w:rPr>
          <w:rFonts w:eastAsia="Arial Unicode MS" w:cs="Arial Unicode MS"/>
        </w:rPr>
        <w:t>https://www.nature.com/articles/s41597-024-03805-z</w:t>
      </w:r>
    </w:p>
    <w:p w14:paraId="663B2DAF" w14:textId="77777777" w:rsidR="00BC2A6D" w:rsidRDefault="00BC2A6D">
      <w:pPr>
        <w:pStyle w:val="Default"/>
      </w:pPr>
    </w:p>
    <w:p w14:paraId="07547077" w14:textId="77777777" w:rsidR="00BC2A6D" w:rsidRDefault="00BC2A6D">
      <w:pPr>
        <w:pStyle w:val="Default"/>
      </w:pPr>
    </w:p>
  </w:comment>
  <w:comment w:id="12" w:author="ziamehrabi" w:date="2025-10-14T08:53:00Z" w:initials="">
    <w:p w14:paraId="0B596E2B" w14:textId="77777777" w:rsidR="00BC2A6D" w:rsidRDefault="00BC2A6D">
      <w:pPr>
        <w:pStyle w:val="Default"/>
      </w:pPr>
    </w:p>
    <w:p w14:paraId="00E414F5" w14:textId="77777777" w:rsidR="00BC2A6D" w:rsidRDefault="00000000">
      <w:pPr>
        <w:pStyle w:val="Default"/>
      </w:pPr>
      <w:r>
        <w:rPr>
          <w:rFonts w:eastAsia="Arial Unicode MS" w:cs="Arial Unicode MS"/>
        </w:rPr>
        <w:t>? Conditional or marginal?</w:t>
      </w:r>
    </w:p>
    <w:p w14:paraId="4904AA5C" w14:textId="77777777" w:rsidR="00BC2A6D" w:rsidRDefault="00BC2A6D">
      <w:pPr>
        <w:pStyle w:val="Default"/>
      </w:pPr>
    </w:p>
    <w:p w14:paraId="53085D78" w14:textId="77777777" w:rsidR="00BC2A6D" w:rsidRDefault="00000000">
      <w:pPr>
        <w:pStyle w:val="Default"/>
      </w:pPr>
      <w:r>
        <w:rPr>
          <w:rFonts w:eastAsia="Arial Unicode MS" w:cs="Arial Unicode MS"/>
        </w:rPr>
        <w:t xml:space="preserve">If this is using methods explained in Pittelkow? Lots of issues with this analysis </w:t>
      </w:r>
    </w:p>
    <w:p w14:paraId="02F6A5EE" w14:textId="77777777" w:rsidR="00BC2A6D" w:rsidRDefault="00BC2A6D">
      <w:pPr>
        <w:pStyle w:val="Default"/>
      </w:pPr>
    </w:p>
    <w:p w14:paraId="4B484D10" w14:textId="77777777" w:rsidR="00BC2A6D" w:rsidRDefault="00000000">
      <w:pPr>
        <w:pStyle w:val="Default"/>
      </w:pPr>
      <w:r>
        <w:rPr>
          <w:rFonts w:eastAsia="Arial Unicode MS" w:cs="Arial Unicode MS"/>
        </w:rPr>
        <w:t>https://www.biorxiv.org/content/10.1101/179358v1</w:t>
      </w:r>
    </w:p>
    <w:p w14:paraId="2FC14219" w14:textId="77777777" w:rsidR="00BC2A6D" w:rsidRDefault="00BC2A6D">
      <w:pPr>
        <w:pStyle w:val="Default"/>
      </w:pPr>
    </w:p>
    <w:p w14:paraId="2411770D" w14:textId="77777777" w:rsidR="00BC2A6D" w:rsidRDefault="00BC2A6D">
      <w:pPr>
        <w:pStyle w:val="Defaul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4C36FE" w15:done="0"/>
  <w15:commentEx w15:paraId="24F8499E" w15:done="0"/>
  <w15:commentEx w15:paraId="7194747D" w15:done="0"/>
  <w15:commentEx w15:paraId="7A3BCA18" w15:done="0"/>
  <w15:commentEx w15:paraId="3BAF8C7A" w15:done="0"/>
  <w15:commentEx w15:paraId="07547077" w15:done="0"/>
  <w15:commentEx w15:paraId="241177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4C36FE" w16cid:durableId="07704161"/>
  <w16cid:commentId w16cid:paraId="24F8499E" w16cid:durableId="1BE0E244"/>
  <w16cid:commentId w16cid:paraId="7194747D" w16cid:durableId="38CBC029"/>
  <w16cid:commentId w16cid:paraId="7A3BCA18" w16cid:durableId="60041B4D"/>
  <w16cid:commentId w16cid:paraId="3BAF8C7A" w16cid:durableId="349D57FB"/>
  <w16cid:commentId w16cid:paraId="07547077" w16cid:durableId="14DBBDC4"/>
  <w16cid:commentId w16cid:paraId="2411770D" w16cid:durableId="46A8F4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59E831" w14:textId="77777777" w:rsidR="006B70AD" w:rsidRDefault="006B70AD">
      <w:r>
        <w:separator/>
      </w:r>
    </w:p>
  </w:endnote>
  <w:endnote w:type="continuationSeparator" w:id="0">
    <w:p w14:paraId="19562025" w14:textId="77777777" w:rsidR="006B70AD" w:rsidRDefault="006B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CCB72" w14:textId="77777777" w:rsidR="00BC2A6D" w:rsidRDefault="00BC2A6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C9B0E" w14:textId="77777777" w:rsidR="006B70AD" w:rsidRDefault="006B70AD">
      <w:r>
        <w:separator/>
      </w:r>
    </w:p>
  </w:footnote>
  <w:footnote w:type="continuationSeparator" w:id="0">
    <w:p w14:paraId="7DC6938B" w14:textId="77777777" w:rsidR="006B70AD" w:rsidRDefault="006B7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5C9F5" w14:textId="77777777" w:rsidR="00BC2A6D" w:rsidRDefault="00BC2A6D">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BB1D2" w14:textId="77777777" w:rsidR="00BC2A6D" w:rsidRDefault="00BC2A6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E5C4F"/>
    <w:multiLevelType w:val="multilevel"/>
    <w:tmpl w:val="0BB4435E"/>
    <w:numStyleLink w:val="ImportedStyle2"/>
  </w:abstractNum>
  <w:abstractNum w:abstractNumId="1" w15:restartNumberingAfterBreak="0">
    <w:nsid w:val="36C14DB9"/>
    <w:multiLevelType w:val="multilevel"/>
    <w:tmpl w:val="0BB4435E"/>
    <w:styleLink w:val="ImportedStyle2"/>
    <w:lvl w:ilvl="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10" w:hanging="11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A8676FB"/>
    <w:multiLevelType w:val="hybridMultilevel"/>
    <w:tmpl w:val="504A8948"/>
    <w:numStyleLink w:val="ImportedStyle4"/>
  </w:abstractNum>
  <w:abstractNum w:abstractNumId="3" w15:restartNumberingAfterBreak="0">
    <w:nsid w:val="45964917"/>
    <w:multiLevelType w:val="hybridMultilevel"/>
    <w:tmpl w:val="6AEC4C28"/>
    <w:styleLink w:val="ImportedStyle3"/>
    <w:lvl w:ilvl="0" w:tplc="0EB0D21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C5A173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ACCA8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9AAFC7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D6644A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86A01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2C6B8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7F0FB1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804B52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47D20F04"/>
    <w:multiLevelType w:val="hybridMultilevel"/>
    <w:tmpl w:val="77989DC0"/>
    <w:styleLink w:val="ImportedStyle1"/>
    <w:lvl w:ilvl="0" w:tplc="37843C40">
      <w:start w:val="1"/>
      <w:numFmt w:val="decimal"/>
      <w:suff w:val="nothing"/>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AF4727C">
      <w:start w:val="1"/>
      <w:numFmt w:val="lowerLetter"/>
      <w:lvlText w:val="%2."/>
      <w:lvlJc w:val="left"/>
      <w:pPr>
        <w:tabs>
          <w:tab w:val="num" w:pos="1080"/>
        </w:tabs>
        <w:ind w:left="1330" w:hanging="610"/>
      </w:pPr>
      <w:rPr>
        <w:rFonts w:hAnsi="Arial Unicode MS"/>
        <w:caps w:val="0"/>
        <w:smallCaps w:val="0"/>
        <w:strike w:val="0"/>
        <w:dstrike w:val="0"/>
        <w:outline w:val="0"/>
        <w:emboss w:val="0"/>
        <w:imprint w:val="0"/>
        <w:spacing w:val="0"/>
        <w:w w:val="100"/>
        <w:kern w:val="0"/>
        <w:position w:val="0"/>
        <w:highlight w:val="none"/>
        <w:vertAlign w:val="baseline"/>
      </w:rPr>
    </w:lvl>
    <w:lvl w:ilvl="2" w:tplc="80B04F18">
      <w:start w:val="1"/>
      <w:numFmt w:val="lowerRoman"/>
      <w:lvlText w:val="%3."/>
      <w:lvlJc w:val="left"/>
      <w:pPr>
        <w:tabs>
          <w:tab w:val="num" w:pos="1800"/>
        </w:tabs>
        <w:ind w:left="2050" w:hanging="540"/>
      </w:pPr>
      <w:rPr>
        <w:rFonts w:hAnsi="Arial Unicode MS"/>
        <w:caps w:val="0"/>
        <w:smallCaps w:val="0"/>
        <w:strike w:val="0"/>
        <w:dstrike w:val="0"/>
        <w:outline w:val="0"/>
        <w:emboss w:val="0"/>
        <w:imprint w:val="0"/>
        <w:spacing w:val="0"/>
        <w:w w:val="100"/>
        <w:kern w:val="0"/>
        <w:position w:val="0"/>
        <w:highlight w:val="none"/>
        <w:vertAlign w:val="baseline"/>
      </w:rPr>
    </w:lvl>
    <w:lvl w:ilvl="3" w:tplc="BF9EBBC8">
      <w:start w:val="1"/>
      <w:numFmt w:val="decimal"/>
      <w:lvlText w:val="%4."/>
      <w:lvlJc w:val="left"/>
      <w:pPr>
        <w:tabs>
          <w:tab w:val="num" w:pos="2520"/>
        </w:tabs>
        <w:ind w:left="2770" w:hanging="610"/>
      </w:pPr>
      <w:rPr>
        <w:rFonts w:hAnsi="Arial Unicode MS"/>
        <w:caps w:val="0"/>
        <w:smallCaps w:val="0"/>
        <w:strike w:val="0"/>
        <w:dstrike w:val="0"/>
        <w:outline w:val="0"/>
        <w:emboss w:val="0"/>
        <w:imprint w:val="0"/>
        <w:spacing w:val="0"/>
        <w:w w:val="100"/>
        <w:kern w:val="0"/>
        <w:position w:val="0"/>
        <w:highlight w:val="none"/>
        <w:vertAlign w:val="baseline"/>
      </w:rPr>
    </w:lvl>
    <w:lvl w:ilvl="4" w:tplc="7BDAD1D8">
      <w:start w:val="1"/>
      <w:numFmt w:val="lowerLetter"/>
      <w:lvlText w:val="%5."/>
      <w:lvlJc w:val="left"/>
      <w:pPr>
        <w:tabs>
          <w:tab w:val="num" w:pos="3240"/>
        </w:tabs>
        <w:ind w:left="3490" w:hanging="610"/>
      </w:pPr>
      <w:rPr>
        <w:rFonts w:hAnsi="Arial Unicode MS"/>
        <w:caps w:val="0"/>
        <w:smallCaps w:val="0"/>
        <w:strike w:val="0"/>
        <w:dstrike w:val="0"/>
        <w:outline w:val="0"/>
        <w:emboss w:val="0"/>
        <w:imprint w:val="0"/>
        <w:spacing w:val="0"/>
        <w:w w:val="100"/>
        <w:kern w:val="0"/>
        <w:position w:val="0"/>
        <w:highlight w:val="none"/>
        <w:vertAlign w:val="baseline"/>
      </w:rPr>
    </w:lvl>
    <w:lvl w:ilvl="5" w:tplc="C4BE6974">
      <w:start w:val="1"/>
      <w:numFmt w:val="lowerRoman"/>
      <w:lvlText w:val="%6."/>
      <w:lvlJc w:val="left"/>
      <w:pPr>
        <w:tabs>
          <w:tab w:val="num" w:pos="3960"/>
        </w:tabs>
        <w:ind w:left="4210" w:hanging="540"/>
      </w:pPr>
      <w:rPr>
        <w:rFonts w:hAnsi="Arial Unicode MS"/>
        <w:caps w:val="0"/>
        <w:smallCaps w:val="0"/>
        <w:strike w:val="0"/>
        <w:dstrike w:val="0"/>
        <w:outline w:val="0"/>
        <w:emboss w:val="0"/>
        <w:imprint w:val="0"/>
        <w:spacing w:val="0"/>
        <w:w w:val="100"/>
        <w:kern w:val="0"/>
        <w:position w:val="0"/>
        <w:highlight w:val="none"/>
        <w:vertAlign w:val="baseline"/>
      </w:rPr>
    </w:lvl>
    <w:lvl w:ilvl="6" w:tplc="FF1467B2">
      <w:start w:val="1"/>
      <w:numFmt w:val="decimal"/>
      <w:lvlText w:val="%7."/>
      <w:lvlJc w:val="left"/>
      <w:pPr>
        <w:tabs>
          <w:tab w:val="num" w:pos="4680"/>
        </w:tabs>
        <w:ind w:left="4930" w:hanging="610"/>
      </w:pPr>
      <w:rPr>
        <w:rFonts w:hAnsi="Arial Unicode MS"/>
        <w:caps w:val="0"/>
        <w:smallCaps w:val="0"/>
        <w:strike w:val="0"/>
        <w:dstrike w:val="0"/>
        <w:outline w:val="0"/>
        <w:emboss w:val="0"/>
        <w:imprint w:val="0"/>
        <w:spacing w:val="0"/>
        <w:w w:val="100"/>
        <w:kern w:val="0"/>
        <w:position w:val="0"/>
        <w:highlight w:val="none"/>
        <w:vertAlign w:val="baseline"/>
      </w:rPr>
    </w:lvl>
    <w:lvl w:ilvl="7" w:tplc="780A8B44">
      <w:start w:val="1"/>
      <w:numFmt w:val="lowerLetter"/>
      <w:lvlText w:val="%8."/>
      <w:lvlJc w:val="left"/>
      <w:pPr>
        <w:tabs>
          <w:tab w:val="num" w:pos="5400"/>
        </w:tabs>
        <w:ind w:left="5650" w:hanging="610"/>
      </w:pPr>
      <w:rPr>
        <w:rFonts w:hAnsi="Arial Unicode MS"/>
        <w:caps w:val="0"/>
        <w:smallCaps w:val="0"/>
        <w:strike w:val="0"/>
        <w:dstrike w:val="0"/>
        <w:outline w:val="0"/>
        <w:emboss w:val="0"/>
        <w:imprint w:val="0"/>
        <w:spacing w:val="0"/>
        <w:w w:val="100"/>
        <w:kern w:val="0"/>
        <w:position w:val="0"/>
        <w:highlight w:val="none"/>
        <w:vertAlign w:val="baseline"/>
      </w:rPr>
    </w:lvl>
    <w:lvl w:ilvl="8" w:tplc="15363A12">
      <w:start w:val="1"/>
      <w:numFmt w:val="lowerRoman"/>
      <w:lvlText w:val="%9."/>
      <w:lvlJc w:val="left"/>
      <w:pPr>
        <w:tabs>
          <w:tab w:val="num" w:pos="6120"/>
        </w:tabs>
        <w:ind w:left="6370" w:hanging="5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84E0E1B"/>
    <w:multiLevelType w:val="hybridMultilevel"/>
    <w:tmpl w:val="77989DC0"/>
    <w:numStyleLink w:val="ImportedStyle1"/>
  </w:abstractNum>
  <w:abstractNum w:abstractNumId="6" w15:restartNumberingAfterBreak="0">
    <w:nsid w:val="69EB2EF2"/>
    <w:multiLevelType w:val="hybridMultilevel"/>
    <w:tmpl w:val="504A8948"/>
    <w:styleLink w:val="ImportedStyle4"/>
    <w:lvl w:ilvl="0" w:tplc="2390CC0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D440474">
      <w:start w:val="1"/>
      <w:numFmt w:val="bullet"/>
      <w:lvlText w:val="o"/>
      <w:lvlJc w:val="left"/>
      <w:pPr>
        <w:tabs>
          <w:tab w:val="left" w:pos="720"/>
        </w:tabs>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23CEEF3A">
      <w:start w:val="1"/>
      <w:numFmt w:val="bullet"/>
      <w:lvlText w:val="▪"/>
      <w:lvlJc w:val="left"/>
      <w:pPr>
        <w:tabs>
          <w:tab w:val="left" w:pos="720"/>
        </w:tabs>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DE6005C">
      <w:start w:val="1"/>
      <w:numFmt w:val="bullet"/>
      <w:lvlText w:val="•"/>
      <w:lvlJc w:val="left"/>
      <w:pPr>
        <w:tabs>
          <w:tab w:val="left" w:pos="720"/>
        </w:tabs>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292831AA">
      <w:start w:val="1"/>
      <w:numFmt w:val="bullet"/>
      <w:lvlText w:val="o"/>
      <w:lvlJc w:val="left"/>
      <w:pPr>
        <w:tabs>
          <w:tab w:val="left" w:pos="720"/>
        </w:tabs>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BF768234">
      <w:start w:val="1"/>
      <w:numFmt w:val="bullet"/>
      <w:lvlText w:val="▪"/>
      <w:lvlJc w:val="left"/>
      <w:pPr>
        <w:tabs>
          <w:tab w:val="left" w:pos="720"/>
        </w:tabs>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7C1E1FBE">
      <w:start w:val="1"/>
      <w:numFmt w:val="bullet"/>
      <w:lvlText w:val="•"/>
      <w:lvlJc w:val="left"/>
      <w:pPr>
        <w:tabs>
          <w:tab w:val="left" w:pos="720"/>
        </w:tabs>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3BBE3606">
      <w:start w:val="1"/>
      <w:numFmt w:val="bullet"/>
      <w:lvlText w:val="o"/>
      <w:lvlJc w:val="left"/>
      <w:pPr>
        <w:tabs>
          <w:tab w:val="left" w:pos="720"/>
        </w:tabs>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2387624">
      <w:start w:val="1"/>
      <w:numFmt w:val="bullet"/>
      <w:lvlText w:val="▪"/>
      <w:lvlJc w:val="left"/>
      <w:pPr>
        <w:tabs>
          <w:tab w:val="left" w:pos="720"/>
        </w:tabs>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7C326393"/>
    <w:multiLevelType w:val="hybridMultilevel"/>
    <w:tmpl w:val="6AEC4C28"/>
    <w:numStyleLink w:val="ImportedStyle3"/>
  </w:abstractNum>
  <w:num w:numId="1" w16cid:durableId="499854539">
    <w:abstractNumId w:val="4"/>
  </w:num>
  <w:num w:numId="2" w16cid:durableId="513112440">
    <w:abstractNumId w:val="5"/>
  </w:num>
  <w:num w:numId="3" w16cid:durableId="1690570737">
    <w:abstractNumId w:val="1"/>
  </w:num>
  <w:num w:numId="4" w16cid:durableId="115680025">
    <w:abstractNumId w:val="0"/>
  </w:num>
  <w:num w:numId="5" w16cid:durableId="1759403231">
    <w:abstractNumId w:val="3"/>
  </w:num>
  <w:num w:numId="6" w16cid:durableId="2023045388">
    <w:abstractNumId w:val="7"/>
  </w:num>
  <w:num w:numId="7" w16cid:durableId="1771393108">
    <w:abstractNumId w:val="0"/>
    <w:lvlOverride w:ilvl="1">
      <w:startOverride w:val="2"/>
    </w:lvlOverride>
  </w:num>
  <w:num w:numId="8" w16cid:durableId="95834092">
    <w:abstractNumId w:val="6"/>
  </w:num>
  <w:num w:numId="9" w16cid:durableId="907686035">
    <w:abstractNumId w:val="2"/>
  </w:num>
  <w:num w:numId="10" w16cid:durableId="154958379">
    <w:abstractNumId w:val="2"/>
    <w:lvlOverride w:ilvl="0">
      <w:lvl w:ilvl="0" w:tplc="EE886842">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ECAA080">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6C2B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03E61E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BC61E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8066A26">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5EC3EF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5F21F4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A81CCCE4">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16cid:durableId="1685283578">
    <w:abstractNumId w:val="0"/>
    <w:lvlOverride w:ilvl="1">
      <w:startOverride w:val="4"/>
    </w:lvlOverride>
  </w:num>
  <w:num w:numId="12" w16cid:durableId="172382334">
    <w:abstractNumId w:val="0"/>
    <w:lvlOverride w:ilvl="0">
      <w:startOverride w:val="3"/>
    </w:lvlOverride>
  </w:num>
  <w:num w:numId="13" w16cid:durableId="798187910">
    <w:abstractNumId w:val="0"/>
    <w:lvlOverride w:ilvl="0">
      <w:lvl w:ilvl="0">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10" w:hanging="11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728"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232" w:hanging="158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2736" w:hanging="17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240" w:hanging="187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3744" w:hanging="201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4320" w:hanging="223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A6D"/>
    <w:rsid w:val="000E0A36"/>
    <w:rsid w:val="00377761"/>
    <w:rsid w:val="005B1DFF"/>
    <w:rsid w:val="00641CDF"/>
    <w:rsid w:val="00661680"/>
    <w:rsid w:val="0066201F"/>
    <w:rsid w:val="006B70AD"/>
    <w:rsid w:val="009800E7"/>
    <w:rsid w:val="00A667A6"/>
    <w:rsid w:val="00AC533A"/>
    <w:rsid w:val="00B279F2"/>
    <w:rsid w:val="00BC2A6D"/>
    <w:rsid w:val="00D63817"/>
    <w:rsid w:val="00D76735"/>
    <w:rsid w:val="00DB7919"/>
    <w:rsid w:val="00EF1AA5"/>
    <w:rsid w:val="00FA7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46D2D"/>
  <w15:docId w15:val="{7A6604EE-8230-4817-B63D-D6E980DAD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kern w:val="2"/>
      <w:sz w:val="22"/>
      <w:szCs w:val="22"/>
      <w:u w:color="000000"/>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hAnsi="Calibri" w:cs="Arial Unicode MS"/>
      <w:color w:val="000000"/>
      <w:kern w:val="2"/>
      <w:sz w:val="22"/>
      <w:szCs w:val="22"/>
      <w:u w:color="000000"/>
    </w:rPr>
  </w:style>
  <w:style w:type="numbering" w:customStyle="1" w:styleId="ImportedStyle1">
    <w:name w:val="Imported Style 1"/>
    <w:pPr>
      <w:numPr>
        <w:numId w:val="1"/>
      </w:numPr>
    </w:p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paragraph" w:styleId="NormalWeb">
    <w:name w:val="Normal (Web)"/>
    <w:pPr>
      <w:spacing w:before="100" w:after="100"/>
    </w:pPr>
    <w:rPr>
      <w:rFonts w:eastAsia="Times New Roman"/>
      <w:color w:val="000000"/>
      <w:sz w:val="24"/>
      <w:szCs w:val="24"/>
      <w:u w:color="000000"/>
    </w:rPr>
  </w:style>
  <w:style w:type="numbering" w:customStyle="1" w:styleId="ImportedStyle4">
    <w:name w:val="Imported Style 4"/>
    <w:pPr>
      <w:numPr>
        <w:numId w:val="8"/>
      </w:numPr>
    </w:pPr>
  </w:style>
  <w:style w:type="paragraph" w:customStyle="1" w:styleId="Heading">
    <w:name w:val="Heading"/>
    <w:pPr>
      <w:spacing w:before="100" w:after="100"/>
      <w:jc w:val="both"/>
      <w:outlineLvl w:val="0"/>
    </w:pPr>
    <w:rPr>
      <w:rFonts w:cs="Arial Unicode MS"/>
      <w:color w:val="000000"/>
      <w:kern w:val="2"/>
      <w:sz w:val="22"/>
      <w:szCs w:val="22"/>
      <w:u w:color="000000"/>
      <w14:textOutline w14:w="0" w14:cap="flat" w14:cmpd="sng" w14:algn="ctr">
        <w14:noFill/>
        <w14:prstDash w14:val="solid"/>
        <w14:bevel/>
      </w14:textOutline>
    </w:rPr>
  </w:style>
  <w:style w:type="paragraph" w:styleId="NoSpacing">
    <w:name w:val="No Spacing"/>
    <w:rPr>
      <w:rFonts w:ascii="Calibri" w:hAnsi="Calibri" w:cs="Arial Unicode MS"/>
      <w:color w:val="000000"/>
      <w:kern w:val="2"/>
      <w:sz w:val="22"/>
      <w:szCs w:val="22"/>
      <w:u w:color="000000"/>
    </w:rPr>
  </w:style>
  <w:style w:type="paragraph" w:customStyle="1" w:styleId="EndNoteBibliography">
    <w:name w:val="EndNote Bibliography"/>
    <w:pPr>
      <w:spacing w:after="160"/>
    </w:pPr>
    <w:rPr>
      <w:rFonts w:ascii="Calibri" w:eastAsia="Calibri" w:hAnsi="Calibri" w:cs="Calibri"/>
      <w:color w:val="000000"/>
      <w:kern w:val="2"/>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279F2"/>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773556">
      <w:bodyDiv w:val="1"/>
      <w:marLeft w:val="0"/>
      <w:marRight w:val="0"/>
      <w:marTop w:val="0"/>
      <w:marBottom w:val="0"/>
      <w:divBdr>
        <w:top w:val="none" w:sz="0" w:space="0" w:color="auto"/>
        <w:left w:val="none" w:sz="0" w:space="0" w:color="auto"/>
        <w:bottom w:val="none" w:sz="0" w:space="0" w:color="auto"/>
        <w:right w:val="none" w:sz="0" w:space="0" w:color="auto"/>
      </w:divBdr>
    </w:div>
    <w:div w:id="888569842">
      <w:bodyDiv w:val="1"/>
      <w:marLeft w:val="0"/>
      <w:marRight w:val="0"/>
      <w:marTop w:val="0"/>
      <w:marBottom w:val="0"/>
      <w:divBdr>
        <w:top w:val="none" w:sz="0" w:space="0" w:color="auto"/>
        <w:left w:val="none" w:sz="0" w:space="0" w:color="auto"/>
        <w:bottom w:val="none" w:sz="0" w:space="0" w:color="auto"/>
        <w:right w:val="none" w:sz="0" w:space="0" w:color="auto"/>
      </w:divBdr>
    </w:div>
    <w:div w:id="1572422313">
      <w:bodyDiv w:val="1"/>
      <w:marLeft w:val="0"/>
      <w:marRight w:val="0"/>
      <w:marTop w:val="0"/>
      <w:marBottom w:val="0"/>
      <w:divBdr>
        <w:top w:val="none" w:sz="0" w:space="0" w:color="auto"/>
        <w:left w:val="none" w:sz="0" w:space="0" w:color="auto"/>
        <w:bottom w:val="none" w:sz="0" w:space="0" w:color="auto"/>
        <w:right w:val="none" w:sz="0" w:space="0" w:color="auto"/>
      </w:divBdr>
    </w:div>
    <w:div w:id="16773443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30</Pages>
  <Words>12749</Words>
  <Characters>72670</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Hounkpatin Ozias</cp:lastModifiedBy>
  <cp:revision>5</cp:revision>
  <dcterms:created xsi:type="dcterms:W3CDTF">2025-10-20T08:30:00Z</dcterms:created>
  <dcterms:modified xsi:type="dcterms:W3CDTF">2025-10-20T12:40:00Z</dcterms:modified>
</cp:coreProperties>
</file>