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gramEnd"/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gramEnd"/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æfirmafaksæ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gramEnd"/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C6521D" w:rsidRPr="00D06BCE" w14:paraId="314305D8" w14:textId="77777777" w:rsidTr="00C20348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C6521D" w:rsidRPr="009D4BB3" w:rsidRDefault="00C6521D" w:rsidP="00C652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C6521D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2436" w:type="dxa"/>
            <w:vAlign w:val="center"/>
          </w:tcPr>
          <w:p w14:paraId="09AE2790" w14:textId="29D58817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23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  <w:tc>
          <w:tcPr>
            <w:tcW w:w="2436" w:type="dxa"/>
            <w:vAlign w:val="center"/>
          </w:tcPr>
          <w:p w14:paraId="13D0185B" w14:textId="66E08DC1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11æ</w:t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12æ</w:t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æiuzmæ</w:t>
            </w:r>
            <w:proofErr w:type="gramEnd"/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11æ</w:t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12æ</w:t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gramEnd"/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ædenetimtarihleriæ</w:t>
            </w:r>
            <w:proofErr w:type="gram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ædenetimzamaniæ</w:t>
            </w:r>
            <w:proofErr w:type="gramEnd"/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E33D67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E33D67" w:rsidRPr="009D4BB3" w:rsidRDefault="00E33D67" w:rsidP="00E33D67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6BE69220" w:rsidR="00E33D67" w:rsidRPr="00DC27A5" w:rsidRDefault="00E33D67" w:rsidP="00E33D6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gramEnd"/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33D67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725631D4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33D67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161CE3EB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28487478" w:rsidR="00EA6426" w:rsidRPr="00DC27A5" w:rsidRDefault="00EA6426" w:rsidP="00EA642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</w:t>
            </w:r>
            <w:r w:rsidR="00E33D6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</w:t>
            </w:r>
            <w:proofErr w:type="gram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  <w:proofErr w:type="gramEnd"/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39970363" w:rsidR="00AB0698" w:rsidRPr="00D06BCE" w:rsidRDefault="00D22A7A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  <w:proofErr w:type="gramEnd"/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gramEnd"/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proofErr w:type="gramStart"/>
            <w:r>
              <w:rPr>
                <w:rFonts w:ascii="Arial" w:hAnsi="Arial" w:cs="Arial"/>
              </w:rPr>
              <w:t>ædenetimtarihleriæ</w:t>
            </w:r>
            <w:proofErr w:type="gramEnd"/>
            <w:r>
              <w:rPr>
                <w:rFonts w:ascii="Arial" w:hAnsi="Arial" w:cs="Arial"/>
                <w:bCs/>
                <w:lang w:eastAsia="en-US"/>
              </w:rPr>
              <w:t xml:space="preserve"> tarihinde, æfirmaadresiæ adresinde faaliyet gösteren, æfirmaadiæ æbelgelendirileceksistemleræ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a) Seçilmiş kontroller ve bu kontrollerin hedefleri tanımlanmıştır. Bu seçimlerin dayanakları risk kayıtlarında </w:t>
            </w:r>
            <w:proofErr w:type="gram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dokümante edilmiştir</w:t>
            </w:r>
            <w:proofErr w:type="gram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DD7B2" w14:textId="77777777" w:rsidR="00DA6E41" w:rsidRDefault="00DA6E41">
      <w:r>
        <w:separator/>
      </w:r>
    </w:p>
  </w:endnote>
  <w:endnote w:type="continuationSeparator" w:id="0">
    <w:p w14:paraId="27E55604" w14:textId="77777777" w:rsidR="00DA6E41" w:rsidRDefault="00DA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67DCB" w14:textId="77777777" w:rsidR="00DA6E41" w:rsidRDefault="00DA6E41">
      <w:r>
        <w:separator/>
      </w:r>
    </w:p>
  </w:footnote>
  <w:footnote w:type="continuationSeparator" w:id="0">
    <w:p w14:paraId="332C28F7" w14:textId="77777777" w:rsidR="00DA6E41" w:rsidRDefault="00DA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æraportarihiæ</w:t>
          </w:r>
          <w:proofErr w:type="gram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gramEnd"/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38D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0E7C39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EFA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66451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44A2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1377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6521D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2A7A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A6E41"/>
    <w:rsid w:val="00DB00D2"/>
    <w:rsid w:val="00DB09E3"/>
    <w:rsid w:val="00DB6B4E"/>
    <w:rsid w:val="00DC1BA3"/>
    <w:rsid w:val="00DC27A5"/>
    <w:rsid w:val="00DC4A6A"/>
    <w:rsid w:val="00DE54FE"/>
    <w:rsid w:val="00DE591C"/>
    <w:rsid w:val="00DF027B"/>
    <w:rsid w:val="00DF0AB7"/>
    <w:rsid w:val="00E02014"/>
    <w:rsid w:val="00E04435"/>
    <w:rsid w:val="00E133F8"/>
    <w:rsid w:val="00E149B5"/>
    <w:rsid w:val="00E175A7"/>
    <w:rsid w:val="00E227D7"/>
    <w:rsid w:val="00E22CDD"/>
    <w:rsid w:val="00E33D67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B0A84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7066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50</cp:revision>
  <cp:lastPrinted>2008-01-11T13:40:00Z</cp:lastPrinted>
  <dcterms:created xsi:type="dcterms:W3CDTF">2022-06-25T11:51:00Z</dcterms:created>
  <dcterms:modified xsi:type="dcterms:W3CDTF">2024-11-08T09:23:00Z</dcterms:modified>
</cp:coreProperties>
</file>