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æfirmaadiæ</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æfirmaadresiæ</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5A2D69" w14:textId="058FE768" w:rsidR="00FC66FF" w:rsidRPr="0065286B" w:rsidRDefault="003F719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FC66FF" w:rsidRPr="0065286B">
              <w:rPr>
                <w:rFonts w:ascii="Arial" w:hAnsi="Arial" w:cs="Arial"/>
                <w:b w:val="0"/>
                <w:sz w:val="18"/>
                <w:szCs w:val="18"/>
              </w:rPr>
              <w:t xml:space="preserve"> İlk Belgelendirme</w:t>
            </w:r>
          </w:p>
          <w:p w14:paraId="338CE279" w14:textId="4385F681" w:rsidR="00FC66FF" w:rsidRPr="0065286B" w:rsidRDefault="003F719A"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FC66FF" w:rsidRPr="0065286B">
              <w:rPr>
                <w:rFonts w:ascii="Arial" w:hAnsi="Arial" w:cs="Arial"/>
                <w:b w:val="0"/>
                <w:sz w:val="18"/>
                <w:szCs w:val="18"/>
              </w:rPr>
              <w:t xml:space="preserve"> Gözetim 1 </w:t>
            </w:r>
          </w:p>
          <w:p w14:paraId="3ED900D1"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60128FF"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æbasdenetciadiæ</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ædenetciadi1æ</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ædenetciadi2æ</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æislamiuzmanadiæ</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æteknikuzmanadi1æ</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æyonetimtemsilcisiadiæ</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ædenetimzamaniæ</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ætoplamcalisansayisiæ</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æbasdenetciadiæ</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101A61">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2B27" w14:textId="77777777" w:rsidR="00101A61" w:rsidRDefault="00101A61">
      <w:r>
        <w:separator/>
      </w:r>
    </w:p>
  </w:endnote>
  <w:endnote w:type="continuationSeparator" w:id="0">
    <w:p w14:paraId="4ED6F53B" w14:textId="77777777" w:rsidR="00101A61" w:rsidRDefault="0010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728DB" w14:textId="77777777" w:rsidR="00101A61" w:rsidRDefault="00101A61">
      <w:r>
        <w:separator/>
      </w:r>
    </w:p>
  </w:footnote>
  <w:footnote w:type="continuationSeparator" w:id="0">
    <w:p w14:paraId="196AF597" w14:textId="77777777" w:rsidR="00101A61" w:rsidRDefault="00101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1A61"/>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19A"/>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7508901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49</cp:revision>
  <cp:lastPrinted>2008-01-11T14:40:00Z</cp:lastPrinted>
  <dcterms:created xsi:type="dcterms:W3CDTF">2023-09-17T13:44:00Z</dcterms:created>
  <dcterms:modified xsi:type="dcterms:W3CDTF">2024-04-24T12:06:00Z</dcterms:modified>
</cp:coreProperties>
</file>