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æfirmaadiæ</w:t>
            </w:r>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æfirmaadresiæ</w:t>
            </w:r>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295990EB" w14:textId="77777777" w:rsidR="004538EE" w:rsidRPr="0065286B" w:rsidRDefault="004538EE" w:rsidP="004538EE">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6C194E8D" w14:textId="77777777" w:rsidR="004538EE" w:rsidRPr="0065286B" w:rsidRDefault="004538EE" w:rsidP="004538EE">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21E7667E" w14:textId="77777777" w:rsidR="004538EE" w:rsidRPr="0065286B" w:rsidRDefault="004538EE" w:rsidP="004538EE">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r w:rsidRPr="0065286B">
              <w:rPr>
                <w:rFonts w:ascii="Arial" w:hAnsi="Arial" w:cs="Arial"/>
                <w:b w:val="0"/>
                <w:sz w:val="18"/>
                <w:szCs w:val="18"/>
              </w:rPr>
              <w:t xml:space="preserve"> Gözetim 2  </w:t>
            </w:r>
          </w:p>
          <w:p w14:paraId="4553BF92" w14:textId="77777777" w:rsidR="004538EE" w:rsidRPr="0065286B" w:rsidRDefault="004538EE" w:rsidP="004538EE">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38E92F0A" w:rsidR="00C012BF" w:rsidRPr="0065286B" w:rsidRDefault="004538EE" w:rsidP="004538EE">
            <w:pPr>
              <w:shd w:val="clear" w:color="auto" w:fill="FFFFFF"/>
              <w:rPr>
                <w:rFonts w:ascii="Arial" w:hAnsi="Arial" w:cs="Arial"/>
                <w:b w:val="0"/>
                <w:sz w:val="18"/>
                <w:szCs w:val="18"/>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3"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r>
              <w:rPr>
                <w:rFonts w:ascii="Arial" w:hAnsi="Arial" w:cs="Arial"/>
                <w:b w:val="0"/>
                <w:sz w:val="20"/>
                <w:szCs w:val="20"/>
              </w:rPr>
              <w:t>æbasdenetciadiæ</w:t>
            </w:r>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ædenetciadi1æ</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ædenetciadi2æ</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r>
              <w:rPr>
                <w:rFonts w:ascii="Arial" w:hAnsi="Arial" w:cs="Arial"/>
                <w:b w:val="0"/>
                <w:sz w:val="20"/>
                <w:szCs w:val="20"/>
              </w:rPr>
              <w:t>æislamiuzmanadiæ</w:t>
            </w:r>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r>
              <w:rPr>
                <w:rFonts w:ascii="Arial" w:hAnsi="Arial" w:cs="Arial"/>
                <w:b w:val="0"/>
                <w:sz w:val="20"/>
                <w:szCs w:val="20"/>
              </w:rPr>
              <w:t>æteknikuzmanadi1æ</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r>
              <w:rPr>
                <w:rFonts w:ascii="Arial" w:hAnsi="Arial" w:cs="Arial"/>
                <w:b w:val="0"/>
                <w:sz w:val="20"/>
                <w:szCs w:val="20"/>
              </w:rPr>
              <w:t>æyonetimtemsilcisiadiæ</w:t>
            </w:r>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r>
              <w:rPr>
                <w:rFonts w:ascii="Arial" w:hAnsi="Arial" w:cs="Arial"/>
                <w:b w:val="0"/>
                <w:sz w:val="20"/>
                <w:szCs w:val="22"/>
              </w:rPr>
              <w:t>ædenetimzamaniæ</w:t>
            </w:r>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r>
              <w:rPr>
                <w:rFonts w:ascii="Arial" w:hAnsi="Arial" w:cs="Arial"/>
                <w:b w:val="0"/>
                <w:sz w:val="20"/>
                <w:szCs w:val="20"/>
              </w:rPr>
              <w:t>ætoplamcalisansayisiæ</w:t>
            </w:r>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Başdenetçi</w:t>
            </w:r>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r>
              <w:rPr>
                <w:rFonts w:ascii="Arial" w:hAnsi="Arial" w:cs="Arial"/>
                <w:b w:val="0"/>
                <w:sz w:val="20"/>
                <w:szCs w:val="20"/>
              </w:rPr>
              <w:t>æbasdenetciadiæ</w:t>
            </w:r>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pest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dokümante edilmiş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Dokumante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Çapraz bulaşmayı(alerjen, mikrobiyal, helal olmayan vb)</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Lavabolarda sıvı temizlik materyali ve kağıt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Tesis pest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SDS’leri</w:t>
            </w:r>
            <w:r w:rsidR="00F560DA" w:rsidRPr="00AB427D">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r w:rsidRPr="00AB427D">
              <w:rPr>
                <w:rFonts w:ascii="Arial" w:hAnsi="Arial" w:cs="Arial"/>
                <w:b w:val="0"/>
                <w:sz w:val="16"/>
                <w:szCs w:val="16"/>
              </w:rPr>
              <w:t xml:space="preserve">düğme, çıt çıt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dokumante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r w:rsidR="00AB427D" w:rsidRPr="00AB427D">
              <w:rPr>
                <w:rFonts w:ascii="Arial" w:hAnsi="Arial" w:cs="Arial"/>
                <w:b w:val="0"/>
                <w:sz w:val="16"/>
                <w:szCs w:val="16"/>
              </w:rPr>
              <w:t>dokümante</w:t>
            </w:r>
            <w:r w:rsidRPr="00AB427D">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Hayvansal Gıdalarda Bulunabilecek Farmakolojik Aktif Maddelerin Sınıflandırılması 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Gıdalara Vitaminler, Mineraller 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Etiketleme 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Hedef Dışı Yemlere Taşınması Önlenemeyen Koksidiyostatların Ve Histomonostatların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Salça 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TGK Zeytinyağı 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Gıdaların Depolanması, Muhafazası 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Bitki Adı İle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Gıdaların Ait Olduğu Partiyi Tanımlayan İşaretler Veya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fonksiyon ve seviyelerde HGYS’ye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HGYS’nin güncellenmesi</w:t>
            </w:r>
          </w:p>
          <w:p w14:paraId="5DC7DA6A" w14:textId="14102AEB" w:rsidR="008C2BC5" w:rsidRPr="00AB427D" w:rsidRDefault="008C2BC5" w:rsidP="008C2BC5">
            <w:pPr>
              <w:widowControl/>
              <w:rPr>
                <w:rFonts w:ascii="Arial" w:hAnsi="Arial" w:cs="Arial"/>
                <w:sz w:val="16"/>
                <w:szCs w:val="16"/>
              </w:rPr>
            </w:pPr>
            <w:r w:rsidRPr="00AB427D">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6E75EA">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DCD74" w14:textId="77777777" w:rsidR="006E75EA" w:rsidRDefault="006E75EA">
      <w:r>
        <w:separator/>
      </w:r>
    </w:p>
  </w:endnote>
  <w:endnote w:type="continuationSeparator" w:id="0">
    <w:p w14:paraId="6E48E186" w14:textId="77777777" w:rsidR="006E75EA" w:rsidRDefault="006E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E805A" w14:textId="77777777" w:rsidR="006E75EA" w:rsidRDefault="006E75EA">
      <w:r>
        <w:separator/>
      </w:r>
    </w:p>
  </w:footnote>
  <w:footnote w:type="continuationSeparator" w:id="0">
    <w:p w14:paraId="0453B2FA" w14:textId="77777777" w:rsidR="006E75EA" w:rsidRDefault="006E7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074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12E"/>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38EE"/>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E75EA"/>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2D79"/>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5374"/>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1CD2"/>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2D79"/>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16</Pages>
  <Words>4572</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14</cp:revision>
  <cp:lastPrinted>2008-01-11T14:40:00Z</cp:lastPrinted>
  <dcterms:created xsi:type="dcterms:W3CDTF">2023-09-17T13:44:00Z</dcterms:created>
  <dcterms:modified xsi:type="dcterms:W3CDTF">2024-04-24T12:13:00Z</dcterms:modified>
</cp:coreProperties>
</file>