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FLOWEN ULUSLAR ARASI LOJİSTİK İTH. İHR. SAN. VE TİC. LTD. ŞTİ.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14.05.2024, 15.05.2024, 16.05.2024, 17.05.2024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