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526802" w:rsidP="00FB0F14">
      <w:pPr>
        <w:jc w:val="center"/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noProof/>
          <w:lang w:val="tr-TR" w:eastAsia="tr-TR"/>
        </w:rPr>
        <w:drawing>
          <wp:inline distT="0" distB="0" distL="0" distR="0">
            <wp:extent cx="3676650" cy="2533650"/>
            <wp:effectExtent l="0" t="0" r="0" b="0"/>
            <wp:docPr id="1" name="Resim 1" descr="aliment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ment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proofErr w:type="spellStart"/>
      <w:r w:rsidRPr="008977F9">
        <w:rPr>
          <w:rFonts w:ascii="Arial" w:hAnsi="Arial" w:cs="Arial"/>
          <w:color w:val="000000"/>
          <w:sz w:val="22"/>
          <w:szCs w:val="22"/>
          <w:lang w:val="tr-TR"/>
        </w:rPr>
        <w:t>Aliment</w:t>
      </w:r>
      <w:proofErr w:type="spellEnd"/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 Mühendislik Uluslar Arası Belgelendirme </w:t>
      </w:r>
    </w:p>
    <w:p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Gözetim ve Eğitim </w:t>
      </w:r>
      <w:proofErr w:type="spellStart"/>
      <w:r w:rsidRPr="008977F9">
        <w:rPr>
          <w:rFonts w:ascii="Arial" w:hAnsi="Arial" w:cs="Arial"/>
          <w:color w:val="000000"/>
          <w:sz w:val="22"/>
          <w:szCs w:val="22"/>
          <w:lang w:val="tr-TR"/>
        </w:rPr>
        <w:t>Hiz</w:t>
      </w:r>
      <w:proofErr w:type="spellEnd"/>
      <w:r w:rsidRPr="008977F9">
        <w:rPr>
          <w:rFonts w:ascii="Arial" w:hAnsi="Arial" w:cs="Arial"/>
          <w:color w:val="000000"/>
          <w:sz w:val="22"/>
          <w:szCs w:val="22"/>
          <w:lang w:val="tr-TR"/>
        </w:rPr>
        <w:t>. Tic. Ltd. Şti.</w: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</w:t>
      </w:r>
      <w:proofErr w:type="spellStart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Kurttepe</w:t>
      </w:r>
      <w:proofErr w:type="spellEnd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Tel: 0322 239 41 41 </w:t>
      </w:r>
      <w:proofErr w:type="spellStart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Fax</w:t>
      </w:r>
      <w:proofErr w:type="spellEnd"/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: 0322 239 40 50</w:t>
      </w: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:rsidTr="00FC16DB">
        <w:trPr>
          <w:trHeight w:val="2386"/>
        </w:trPr>
        <w:tc>
          <w:tcPr>
            <w:tcW w:w="8640" w:type="dxa"/>
            <w:vAlign w:val="center"/>
          </w:tcPr>
          <w:p w:rsidR="000A79FF" w:rsidRDefault="00FC16DB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:rsidR="00FC16DB" w:rsidRPr="008977F9" w:rsidRDefault="00FC16DB" w:rsidP="00FC16DB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TEKLİFİ</w:t>
            </w:r>
            <w:r w:rsidR="0027113D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 VE SÖZLEŞMESİ</w:t>
            </w: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B0F14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           </w:t>
      </w:r>
    </w:p>
    <w:tbl>
      <w:tblPr>
        <w:tblW w:w="8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198"/>
        <w:gridCol w:w="1253"/>
        <w:gridCol w:w="2120"/>
        <w:gridCol w:w="1008"/>
        <w:gridCol w:w="834"/>
      </w:tblGrid>
      <w:tr w:rsidR="00FB0F14" w:rsidRPr="008977F9" w:rsidTr="002338B9">
        <w:trPr>
          <w:trHeight w:val="496"/>
        </w:trPr>
        <w:tc>
          <w:tcPr>
            <w:tcW w:w="1368" w:type="dxa"/>
            <w:shd w:val="clear" w:color="auto" w:fill="F2F2F2"/>
            <w:vAlign w:val="center"/>
          </w:tcPr>
          <w:p w:rsidR="00FB0F14" w:rsidRPr="008977F9" w:rsidRDefault="002338B9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Tarihi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FB0F14" w:rsidRPr="008977F9" w:rsidRDefault="00BD614C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/>
            </w:r>
            <w:proofErr w:type="spellEnd"/>
          </w:p>
        </w:tc>
        <w:tc>
          <w:tcPr>
            <w:tcW w:w="1253" w:type="dxa"/>
            <w:shd w:val="clear" w:color="auto" w:fill="F2F2F2"/>
            <w:vAlign w:val="center"/>
          </w:tcPr>
          <w:p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No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FB0F14" w:rsidRPr="008977F9" w:rsidRDefault="00BD614C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3385</w:t>
            </w:r>
            <w:proofErr w:type="spellEnd"/>
          </w:p>
        </w:tc>
        <w:tc>
          <w:tcPr>
            <w:tcW w:w="1008" w:type="dxa"/>
            <w:shd w:val="clear" w:color="auto" w:fill="F2F2F2"/>
            <w:vAlign w:val="center"/>
          </w:tcPr>
          <w:p w:rsidR="00FB0F14" w:rsidRPr="008977F9" w:rsidRDefault="00414B91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Rev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 xml:space="preserve">. </w:t>
            </w:r>
            <w:r w:rsidR="00FB0F14"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No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FB0F14" w:rsidRPr="008977F9" w:rsidRDefault="00FB0F14" w:rsidP="0060333D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1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:rsidTr="005B41E2">
        <w:trPr>
          <w:trHeight w:val="474"/>
        </w:trPr>
        <w:tc>
          <w:tcPr>
            <w:tcW w:w="10418" w:type="dxa"/>
            <w:shd w:val="clear" w:color="auto" w:fill="F2F2F2"/>
            <w:vAlign w:val="center"/>
          </w:tcPr>
          <w:p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Taraflar</w:t>
            </w:r>
          </w:p>
        </w:tc>
      </w:tr>
      <w:tr w:rsidR="0083701C" w:rsidRPr="008977F9" w:rsidTr="00BD224B">
        <w:trPr>
          <w:trHeight w:val="5425"/>
        </w:trPr>
        <w:tc>
          <w:tcPr>
            <w:tcW w:w="10418" w:type="dxa"/>
            <w:shd w:val="clear" w:color="auto" w:fill="auto"/>
            <w:vAlign w:val="center"/>
          </w:tcPr>
          <w:p w:rsidR="0083701C" w:rsidRPr="008977F9" w:rsidRDefault="0083701C" w:rsidP="00EA5FC3">
            <w:pPr>
              <w:spacing w:after="24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83701C" w:rsidRPr="008977F9" w:rsidTr="00FC08FF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FC08FF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</w:t>
                  </w:r>
                  <w:proofErr w:type="spellEnd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Mühendislik Uluslar Arası Belgelendirme Gözetim ve Eğitim </w:t>
                  </w:r>
                  <w:proofErr w:type="spellStart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Hiz</w:t>
                  </w:r>
                  <w:proofErr w:type="spellEnd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. Tic. Ltd. Şti.</w:t>
                  </w:r>
                </w:p>
              </w:tc>
            </w:tr>
            <w:tr w:rsidR="0083701C" w:rsidRPr="008977F9" w:rsidTr="00FC08FF">
              <w:trPr>
                <w:trHeight w:val="381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</w:t>
                  </w:r>
                  <w:proofErr w:type="spellEnd"/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Mahallesi 83048 Sokak No: 3 Çukurova/ADANA</w:t>
                  </w:r>
                </w:p>
              </w:tc>
            </w:tr>
            <w:tr w:rsidR="0083701C" w:rsidRPr="008977F9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B674CB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www.aliment.com</w:t>
                  </w:r>
                  <w:r w:rsidR="00B674CB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.tr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B674CB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info@aliment.com</w:t>
                  </w:r>
                  <w:r w:rsidR="00B674CB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.tr</w:t>
                  </w:r>
                </w:p>
              </w:tc>
            </w:tr>
            <w:tr w:rsidR="0083701C" w:rsidRPr="008977F9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:rsidR="0083701C" w:rsidRPr="008977F9" w:rsidRDefault="0083701C" w:rsidP="0083701C">
            <w:pPr>
              <w:rPr>
                <w:rFonts w:ascii="Arial" w:hAnsi="Arial" w:cs="Arial"/>
                <w:sz w:val="20"/>
                <w:szCs w:val="22"/>
                <w:lang w:val="tr-TR"/>
              </w:rPr>
            </w:pPr>
          </w:p>
          <w:p w:rsidR="0083701C" w:rsidRPr="008977F9" w:rsidRDefault="0083701C" w:rsidP="00EA5FC3">
            <w:pPr>
              <w:spacing w:after="24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BD614C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TASTOPİA FACTORY GIDA İNŞAAT TAAHHÜT İTHALAT İHRACAT SAN. VE TİC. LTD. ŞTİ.</w:t>
                  </w:r>
                  <w:proofErr w:type="spellEnd"/>
                </w:p>
              </w:tc>
            </w:tr>
            <w:tr w:rsidR="00BD614C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MALIKÖY ANADOLU OSB MAHALLESİ ANADOLU OSB 10.CADDE NO:7 SİNCAN/ANKARA</w:t>
                  </w:r>
                  <w:proofErr w:type="spellEnd"/>
                </w:p>
              </w:tc>
            </w:tr>
            <w:tr w:rsidR="00BD614C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</w:tcPr>
                <w:p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Saha Adresleri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
</w:t>
                  </w:r>
                  <w:proofErr w:type="spellEnd"/>
                </w:p>
              </w:tc>
            </w:tr>
            <w:tr w:rsidR="00BD614C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www.tastopia.com.tr</w:t>
                  </w:r>
                  <w:proofErr w:type="spellEnd"/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info@tastopia.com.tr</w:t>
                  </w:r>
                  <w:proofErr w:type="spellEnd"/>
                </w:p>
              </w:tc>
            </w:tr>
            <w:tr w:rsidR="00BD614C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0312 255 25 25</w:t>
                  </w:r>
                  <w:proofErr w:type="spellEnd"/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BD614C" w:rsidRPr="008977F9" w:rsidRDefault="00BD614C" w:rsidP="00BD614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BD614C" w:rsidRPr="00766619" w:rsidRDefault="00BD614C" w:rsidP="00BD614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0312 255 25 26</w:t>
                  </w:r>
                  <w:proofErr w:type="spellEnd"/>
                </w:p>
              </w:tc>
            </w:tr>
          </w:tbl>
          <w:p w:rsidR="0083701C" w:rsidRPr="008977F9" w:rsidRDefault="0083701C" w:rsidP="00034897">
            <w:pPr>
              <w:jc w:val="center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:rsidTr="005B41E2">
        <w:trPr>
          <w:trHeight w:val="564"/>
        </w:trPr>
        <w:tc>
          <w:tcPr>
            <w:tcW w:w="10418" w:type="dxa"/>
            <w:shd w:val="clear" w:color="auto" w:fill="F2F2F2"/>
            <w:vAlign w:val="center"/>
          </w:tcPr>
          <w:p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Sözleşme Kapsamı</w:t>
            </w:r>
          </w:p>
        </w:tc>
      </w:tr>
      <w:tr w:rsidR="0083701C" w:rsidRPr="008977F9" w:rsidTr="005B41E2">
        <w:trPr>
          <w:trHeight w:val="1820"/>
        </w:trPr>
        <w:tc>
          <w:tcPr>
            <w:tcW w:w="10418" w:type="dxa"/>
            <w:shd w:val="clear" w:color="auto" w:fill="auto"/>
            <w:vAlign w:val="center"/>
          </w:tcPr>
          <w:p w:rsidR="0083701C" w:rsidRPr="008977F9" w:rsidRDefault="005B41E2" w:rsidP="00034897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aşağıda bilgileri verilmiş olan yönetim sistem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proofErr w:type="spellEnd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spellStart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larına</w:t>
            </w:r>
            <w:proofErr w:type="spellEnd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göre belgelendirilmesi faaliyetlerini kapsamaktadır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:rsidR="0083701C" w:rsidRPr="008977F9" w:rsidRDefault="0083701C" w:rsidP="0083701C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tbl>
            <w:tblPr>
              <w:tblW w:w="9703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03"/>
            </w:tblGrid>
            <w:tr w:rsidR="0083701C" w:rsidRPr="008977F9" w:rsidTr="00BD224B">
              <w:trPr>
                <w:trHeight w:val="340"/>
              </w:trPr>
              <w:tc>
                <w:tcPr>
                  <w:tcW w:w="9703" w:type="dxa"/>
                  <w:shd w:val="clear" w:color="auto" w:fill="auto"/>
                  <w:vAlign w:val="center"/>
                </w:tcPr>
                <w:p w:rsidR="0083701C" w:rsidRPr="008977F9" w:rsidRDefault="0083701C" w:rsidP="00FC08FF">
                  <w:pPr>
                    <w:jc w:val="both"/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Belgelendirme Standar</w:t>
                  </w:r>
                  <w:r w:rsidR="00FC08FF"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d/</w:t>
                  </w:r>
                  <w:proofErr w:type="spellStart"/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ları</w:t>
                  </w:r>
                  <w:proofErr w:type="spellEnd"/>
                </w:p>
              </w:tc>
            </w:tr>
            <w:tr w:rsidR="0083701C" w:rsidRPr="008977F9" w:rsidTr="00BD224B">
              <w:trPr>
                <w:trHeight w:val="340"/>
              </w:trPr>
              <w:tc>
                <w:tcPr>
                  <w:tcW w:w="9703" w:type="dxa"/>
                  <w:shd w:val="clear" w:color="auto" w:fill="auto"/>
                  <w:vAlign w:val="center"/>
                </w:tcPr>
                <w:p w:rsidR="0083701C" w:rsidRPr="008977F9" w:rsidRDefault="00BD614C" w:rsidP="0083701C">
                  <w:pPr>
                    <w:jc w:val="both"/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</w:pPr>
                  <w:proofErr w:type="spellStart"/>
                  <w:r w:rsidRPr="00766619">
                    <w:rPr>
                      <w:rFonts w:ascii="Arial" w:hAnsi="Arial" w:cs="Arial"/>
                      <w:b w:val="0"/>
                      <w:sz w:val="20"/>
                      <w:szCs w:val="20"/>
                      <w:lang w:val="tr-TR"/>
                    </w:rPr>
                    <w:t>ISO 9001:2015, ISO 14001:2015, ISO 22000:2018, ISO 45001:2018, OIC/SMIIC 1:2019</w:t>
                  </w:r>
                  <w:proofErr w:type="spellEnd"/>
                </w:p>
              </w:tc>
            </w:tr>
          </w:tbl>
          <w:p w:rsidR="0083701C" w:rsidRPr="008977F9" w:rsidRDefault="0083701C" w:rsidP="0083701C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:rsidTr="005B41E2">
        <w:trPr>
          <w:trHeight w:val="474"/>
        </w:trPr>
        <w:tc>
          <w:tcPr>
            <w:tcW w:w="10418" w:type="dxa"/>
            <w:shd w:val="clear" w:color="auto" w:fill="F2F2F2"/>
            <w:vAlign w:val="center"/>
          </w:tcPr>
          <w:p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Genel Şartlar</w:t>
            </w:r>
          </w:p>
        </w:tc>
      </w:tr>
      <w:tr w:rsidR="0083701C" w:rsidRPr="008977F9" w:rsidTr="005B41E2">
        <w:tc>
          <w:tcPr>
            <w:tcW w:w="10418" w:type="dxa"/>
            <w:shd w:val="clear" w:color="auto" w:fill="auto"/>
            <w:vAlign w:val="center"/>
          </w:tcPr>
          <w:p w:rsidR="0083701C" w:rsidRPr="008977F9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iki taraf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ça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imzalanması halinde işlerlik kazanacak olup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geçerlilik süresi sonuna kadar geçerlidir.</w:t>
            </w:r>
          </w:p>
          <w:p w:rsidR="00555949" w:rsidRPr="00555949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Sözleşmenin imzalanması ile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sözleşme şartlarına ve </w:t>
            </w:r>
            <w:hyperlink r:id="rId8" w:history="1">
              <w:r w:rsidR="00B674CB" w:rsidRPr="00D319BC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</w:t>
              </w:r>
            </w:hyperlink>
            <w:r w:rsidR="00B674CB" w:rsidRPr="00B674CB">
              <w:rPr>
                <w:rStyle w:val="Kpr"/>
                <w:rFonts w:ascii="Arial" w:hAnsi="Arial" w:cs="Arial"/>
                <w:b w:val="0"/>
                <w:sz w:val="20"/>
                <w:szCs w:val="20"/>
                <w:lang w:val="tr-TR"/>
              </w:rPr>
              <w:t>.tr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adresinde </w:t>
            </w:r>
            <w:r w:rsidR="008441DE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kamuoyuna duyurulmuş olan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Kuralları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="00555949" w:rsidRP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Sertifika ve Logo Kullanım Talimatı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 kayıtsız şartsız uymayı taahhüt eder. İlgili 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 güncel halini </w:t>
            </w:r>
            <w:hyperlink r:id="rId9" w:history="1">
              <w:r w:rsidR="00B674CB" w:rsidRPr="00D319BC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</w:t>
              </w:r>
            </w:hyperlink>
            <w:r w:rsidR="00B674CB" w:rsidRPr="00B674CB">
              <w:rPr>
                <w:rStyle w:val="Kpr"/>
                <w:rFonts w:ascii="Arial" w:hAnsi="Arial" w:cs="Arial"/>
                <w:b w:val="0"/>
                <w:sz w:val="20"/>
                <w:szCs w:val="20"/>
                <w:lang w:val="tr-TR"/>
              </w:rPr>
              <w:t>.tr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adresinden takip etmek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55594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sorumluluğundadır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:rsidR="002F0B6D" w:rsidRPr="008977F9" w:rsidRDefault="005B41E2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proofErr w:type="spellStart"/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karşılıklı uyulması gereken ulusal ve uluslararası kurallar</w:t>
            </w:r>
            <w:r w:rsidR="002855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Kuralları </w:t>
            </w:r>
            <w:r w:rsidR="0028554B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dokümanında 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tanımlanmıştır. </w:t>
            </w:r>
            <w:proofErr w:type="spellStart"/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şartlarında gerçekleştiril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ecek her tür değişikliği 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Kuralları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dokümanında </w:t>
            </w:r>
            <w:r w:rsidR="002F0B6D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tanımlayacak ve web sayfası üzerinden kuruluşlara duyuracaktır.</w:t>
            </w:r>
          </w:p>
          <w:p w:rsidR="0083701C" w:rsidRDefault="008977F9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 faaliyetlerinin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başarılı bir şekilde tamamlanması durumunda </w:t>
            </w:r>
            <w:hyperlink r:id="rId10" w:history="1">
              <w:r w:rsidR="00B674CB" w:rsidRPr="00D319BC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</w:t>
              </w:r>
            </w:hyperlink>
            <w:r w:rsidR="00B674CB" w:rsidRPr="00B674CB">
              <w:rPr>
                <w:rStyle w:val="Kpr"/>
                <w:rFonts w:ascii="Arial" w:hAnsi="Arial" w:cs="Arial"/>
                <w:b w:val="0"/>
                <w:sz w:val="20"/>
                <w:szCs w:val="20"/>
                <w:lang w:val="tr-TR"/>
              </w:rPr>
              <w:t>.tr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adresinde; aşağıdaki bilgiler kamuya açık olarak duyurulacaktır.</w:t>
            </w:r>
          </w:p>
          <w:p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Sertifikanın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 </w:t>
            </w:r>
          </w:p>
          <w:p w:rsidR="0083701C" w:rsidRPr="008977F9" w:rsidRDefault="005B41E2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adı, ilgili </w:t>
            </w:r>
            <w:proofErr w:type="spellStart"/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proofErr w:type="spellEnd"/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proofErr w:type="spellEnd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coğrafi bölge (şehir v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ülke)</w:t>
            </w:r>
          </w:p>
          <w:p w:rsidR="00555949" w:rsidRDefault="00555949" w:rsidP="00034897">
            <w:p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83701C" w:rsidRPr="008977F9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>Bu bilgilere erişim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haklı gerekçelerin sözleşme aşamasında sun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ulması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kısıtlanabilir. Herhangi bir bildirimde bulun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ulmaması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durumunda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belirtilen bilgileri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paylaş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ılması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kabul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edilmiş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sayılır.</w:t>
            </w:r>
          </w:p>
          <w:p w:rsidR="0083701C" w:rsidRDefault="0083701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kullanılması ile ilgili olarak üçüncü şahıslar nezdinde bütün hukuki, mali ve teknik sorumluluk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 aittir.</w:t>
            </w:r>
          </w:p>
          <w:p w:rsidR="0080650C" w:rsidRPr="008977F9" w:rsidRDefault="0080650C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bütün personeli, denetim ve belgelendirme faaliyetleri sırasında elde ettiği ve oluşturduğu bütün bilgileri gizli tutacaktır. Gizli bilgilerin,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yasal olarak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kamuya sunulmasının gerektiği durumlarda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Aliment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yasal bir kısıtlama olmadığı takdirde, Müşteri Kuruluşu bilgilendirecektir.</w:t>
            </w:r>
          </w:p>
          <w:p w:rsidR="00E13FCA" w:rsidRDefault="00E13FCA" w:rsidP="00E13FC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 helal belgelendirme programında/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gerekliliklerinde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meydana gelen değişiklikleri ve bunlarla ilgili geçiş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sürelerini, değişikliği takiben 1 ay içerisinde,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Kuruluşlara ve ilgili taraflara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elektronik posta yoluyla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web sitesi üzerinden duyurur.</w:t>
            </w:r>
          </w:p>
          <w:p w:rsidR="00E13FCA" w:rsidRPr="00A2671A" w:rsidRDefault="00E13FCA" w:rsidP="00E13FC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Kuruluşun,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belgelendirme gerekl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ilikl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erini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kı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smen veya tamamen yerine getirmediğini tespit etmesi halinde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helal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belgelendirmesini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askıya alma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geri çekme 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kapsam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ını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altma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gibi tasarruflarda bulunma hakkına sahiptir. </w:t>
            </w:r>
          </w:p>
          <w:p w:rsidR="00E13FCA" w:rsidRPr="005B73E8" w:rsidRDefault="00E13FCA" w:rsidP="00E13FC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</w:pPr>
            <w:proofErr w:type="spellStart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Aliment’in</w:t>
            </w:r>
            <w:proofErr w:type="spellEnd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yürüttüğü helal belgelendirme faaliyetleri ve kararıyla ilgili şikâyet ve itirazlara ilişkin </w:t>
            </w:r>
            <w:proofErr w:type="gramStart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proses</w:t>
            </w:r>
            <w:proofErr w:type="gramEnd"/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 xml:space="preserve"> </w:t>
            </w:r>
            <w:hyperlink r:id="rId11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kamuoyuna duyurulmuştur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>.</w:t>
            </w:r>
          </w:p>
          <w:p w:rsidR="0083701C" w:rsidRPr="008977F9" w:rsidRDefault="005B41E2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aşağıda belirtilen konularda herhangi bir değişiklik olursa 1 ay içerisinde </w:t>
            </w:r>
            <w:r w:rsidR="0052650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yazılı olarak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spellStart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’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bildirmek zorundadır.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bünyesinde, aşağıda verilen durumlarda oluşabilecek değişikliklerde, kısa süreli denetimler gerçekleştirilebilir:</w:t>
            </w:r>
          </w:p>
          <w:p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Yasal, ticari veya </w:t>
            </w:r>
            <w:r w:rsidR="0077572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kuruluşun statüsü veya mülkiyeti,</w:t>
            </w:r>
          </w:p>
          <w:p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Organizasyon</w:t>
            </w:r>
            <w:r w:rsidR="004F149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yönetim (örneğin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2650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kilit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yönetim, karar veren veya teknik personel),</w:t>
            </w:r>
          </w:p>
          <w:p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İletişim adresi ve sahalar,</w:t>
            </w:r>
          </w:p>
          <w:p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Belgelendirilen yönetim sistemi altındaki işlemlerin kapsamı,</w:t>
            </w:r>
          </w:p>
          <w:p w:rsidR="0083701C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Yönetim sistemi ve </w:t>
            </w:r>
            <w:proofErr w:type="gram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proseslerde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majör değişiklikler.</w:t>
            </w:r>
          </w:p>
          <w:p w:rsidR="003E0337" w:rsidRPr="00BD224B" w:rsidRDefault="003E0337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TÜRKAK</w:t>
            </w:r>
            <w:r w:rsidR="00BD224B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gerektiğinde ve uygulanabilir olduğunda </w:t>
            </w:r>
            <w:proofErr w:type="spellStart"/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verilen hizmetin incelenmesi amacı ile 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yerinde ziyaret e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debilir ve </w:t>
            </w:r>
            <w:proofErr w:type="spellStart"/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yapılan denetimle ilgili gerekli bilgileri al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abilir.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:rsidR="003E0337" w:rsidRPr="008977F9" w:rsidRDefault="003E0337" w:rsidP="006345CD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TÜRKAK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spellStart"/>
            <w:r w:rsidR="00E13FC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</w:t>
            </w:r>
            <w:r w:rsid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proofErr w:type="spellEnd"/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müşterilerine haber vermeksizin denetim/ziyaret gerçekleştirebilir. </w:t>
            </w:r>
            <w:proofErr w:type="spellStart"/>
            <w:r w:rsidR="00046CA1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="00046CA1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046CA1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</w:t>
            </w:r>
            <w:r w:rsidR="00046CA1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denetim/ziyaret için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oluşturulan denetim ekibi ile işbirliği yapar.</w:t>
            </w:r>
          </w:p>
        </w:tc>
      </w:tr>
      <w:tr w:rsidR="0083701C" w:rsidRPr="008977F9" w:rsidTr="005B41E2">
        <w:trPr>
          <w:trHeight w:val="524"/>
        </w:trPr>
        <w:tc>
          <w:tcPr>
            <w:tcW w:w="10418" w:type="dxa"/>
            <w:shd w:val="clear" w:color="auto" w:fill="F2F2F2"/>
            <w:vAlign w:val="center"/>
          </w:tcPr>
          <w:p w:rsidR="0083701C" w:rsidRPr="008977F9" w:rsidRDefault="0083701C" w:rsidP="008977F9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Denetim</w:t>
            </w:r>
            <w:r w:rsidR="008977F9"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83701C" w:rsidRPr="008977F9" w:rsidTr="005B41E2">
        <w:tc>
          <w:tcPr>
            <w:tcW w:w="10418" w:type="dxa"/>
            <w:shd w:val="clear" w:color="auto" w:fill="auto"/>
            <w:vAlign w:val="center"/>
          </w:tcPr>
          <w:p w:rsidR="00184452" w:rsidRDefault="00184452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Denetimler,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denetimlerden en geç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gün önce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ir. 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Kuruluşun, talep ettiği belgelendirmeye esas teşkil eden 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yönetim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sistem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nin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Kuruluşun belgelendiril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diği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  <w:p w:rsidR="008F0688" w:rsidRDefault="0083701C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Her denetimden sonra</w:t>
            </w:r>
            <w:r w:rsidR="00EC7467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sonuç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 </w:t>
            </w:r>
            <w:r w:rsidR="0018445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Rapor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="0018445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ile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EC7467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bildirilir.</w:t>
            </w:r>
          </w:p>
          <w:p w:rsidR="00E13FCA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13FCA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13FCA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13FCA" w:rsidRPr="0028554B" w:rsidRDefault="00E13FCA" w:rsidP="00EC746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:rsidTr="005B41E2">
        <w:trPr>
          <w:trHeight w:val="547"/>
        </w:trPr>
        <w:tc>
          <w:tcPr>
            <w:tcW w:w="10418" w:type="dxa"/>
            <w:shd w:val="clear" w:color="auto" w:fill="F2F2F2"/>
            <w:vAlign w:val="center"/>
          </w:tcPr>
          <w:p w:rsidR="0083701C" w:rsidRPr="008977F9" w:rsidRDefault="0083701C" w:rsidP="0067191E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Mali Yükümlülükler ve Ödemeler</w:t>
            </w:r>
          </w:p>
        </w:tc>
      </w:tr>
      <w:tr w:rsidR="0083701C" w:rsidRPr="008977F9" w:rsidTr="005B41E2">
        <w:tc>
          <w:tcPr>
            <w:tcW w:w="10418" w:type="dxa"/>
            <w:shd w:val="clear" w:color="auto" w:fill="auto"/>
            <w:vAlign w:val="center"/>
          </w:tcPr>
          <w:p w:rsidR="007B061F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 Talimatına göre ilgili yönetim sistem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 w:rsidR="007B525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durumunda 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ilgili talimatlar doğrultusunda deneti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adam/gün sayısında ve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88"/>
              <w:gridCol w:w="2540"/>
              <w:gridCol w:w="3029"/>
              <w:gridCol w:w="2754"/>
            </w:tblGrid>
            <w:tr w:rsidR="0083701C" w:rsidRPr="008977F9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 w:rsidR="007B061F"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Zamanı</w:t>
                  </w:r>
                </w:p>
              </w:tc>
              <w:tc>
                <w:tcPr>
                  <w:tcW w:w="1637" w:type="dxa"/>
                  <w:shd w:val="clear" w:color="auto" w:fill="F2F2F2"/>
                  <w:vAlign w:val="center"/>
                </w:tcPr>
                <w:p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  <w:tc>
                <w:tcPr>
                  <w:tcW w:w="4241" w:type="dxa"/>
                  <w:shd w:val="clear" w:color="auto" w:fill="F2F2F2"/>
                  <w:vAlign w:val="center"/>
                </w:tcPr>
                <w:p w:rsidR="0083701C" w:rsidRPr="008977F9" w:rsidRDefault="0083701C" w:rsidP="0080650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Azaltma</w:t>
                  </w:r>
                  <w:r w:rsidR="0080650C">
                    <w:rPr>
                      <w:rFonts w:ascii="Arial" w:hAnsi="Arial" w:cs="Arial"/>
                      <w:sz w:val="18"/>
                      <w:szCs w:val="22"/>
                    </w:rPr>
                    <w:t>/A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rttırma Sebebi</w:t>
                  </w:r>
                </w:p>
              </w:tc>
            </w:tr>
            <w:tr w:rsidR="00BD614C" w:rsidRPr="008977F9" w:rsidTr="002208F4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:rsidR="00BD614C" w:rsidRPr="008977F9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</w:rPr>
                    <w:t xml:space="preserve">İlk 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Belgelendirme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19.80</w:t>
                  </w:r>
                  <w:proofErr w:type="spellEnd"/>
                </w:p>
              </w:tc>
              <w:tc>
                <w:tcPr>
                  <w:tcW w:w="1637" w:type="dxa"/>
                  <w:vAlign w:val="center"/>
                </w:tcPr>
                <w:p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35450</w:t>
                  </w:r>
                  <w:proofErr w:type="spellEnd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 xml:space="preserve"> ₺</w:t>
                  </w:r>
                </w:p>
              </w:tc>
              <w:tc>
                <w:tcPr>
                  <w:tcW w:w="4241" w:type="dxa"/>
                </w:tcPr>
                <w:p w:rsidR="00BD614C" w:rsidRPr="004640FE" w:rsidRDefault="00BD614C" w:rsidP="00BD614C">
                  <w:pPr>
                    <w:pStyle w:val="GvdeMetni"/>
                    <w:widowControl/>
                    <w:spacing w:before="120" w:after="120"/>
                    <w:jc w:val="both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Düşük risk taşıyan prosesler olması,Çok küçük saha olması,Çalışanların aynı işleri yapıyor olması,Çok büyük bir alanda faaliyet gösterilmesi,Yerel yetkililerle veya şirket ofisleriyle ilişkiler,Lojistik zorluklar olması (Çoklu saha),Ürün tasarım gereklilikleri</w:t>
                  </w:r>
                  <w:proofErr w:type="spellEnd"/>
                </w:p>
              </w:tc>
            </w:tr>
            <w:tr w:rsidR="00BD614C" w:rsidRPr="008977F9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:rsidR="00BD614C" w:rsidRPr="008977F9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1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6.5</w:t>
                  </w:r>
                  <w:proofErr w:type="spellEnd"/>
                </w:p>
              </w:tc>
              <w:tc>
                <w:tcPr>
                  <w:tcW w:w="1637" w:type="dxa"/>
                  <w:vAlign w:val="center"/>
                </w:tcPr>
                <w:p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16800</w:t>
                  </w:r>
                  <w:proofErr w:type="spellEnd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 xml:space="preserve"> ₺</w:t>
                  </w:r>
                </w:p>
              </w:tc>
              <w:tc>
                <w:tcPr>
                  <w:tcW w:w="4241" w:type="dxa"/>
                  <w:vAlign w:val="center"/>
                </w:tcPr>
                <w:p w:rsidR="00BD614C" w:rsidRPr="004640FE" w:rsidRDefault="00BD614C" w:rsidP="00BD614C">
                  <w:pPr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  <w:t>Düşük risk taşıyan prosesler olması,Çok küçük saha olması,Çalışanların aynı işleri yapıyor olması,Çok büyük bir alanda faaliyet gösterilmesi,Yerel yetkililerle veya şirket ofisleriyle ilişkiler,Lojistik zorluklar olması (Çoklu saha),Ürün tasarım gereklilikleri</w:t>
                  </w:r>
                  <w:proofErr w:type="spellEnd"/>
                </w:p>
              </w:tc>
            </w:tr>
            <w:tr w:rsidR="00BD614C" w:rsidRPr="008977F9" w:rsidTr="00E552D6">
              <w:trPr>
                <w:trHeight w:val="397"/>
              </w:trPr>
              <w:tc>
                <w:tcPr>
                  <w:tcW w:w="1765" w:type="dxa"/>
                  <w:shd w:val="clear" w:color="auto" w:fill="F2F2F2"/>
                  <w:vAlign w:val="center"/>
                </w:tcPr>
                <w:p w:rsidR="00BD614C" w:rsidRPr="008977F9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2</w:t>
                  </w:r>
                </w:p>
              </w:tc>
              <w:tc>
                <w:tcPr>
                  <w:tcW w:w="2268" w:type="dxa"/>
                  <w:shd w:val="clear" w:color="auto" w:fill="auto"/>
                  <w:vAlign w:val="center"/>
                </w:tcPr>
                <w:p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6.5</w:t>
                  </w:r>
                  <w:proofErr w:type="spellEnd"/>
                </w:p>
              </w:tc>
              <w:tc>
                <w:tcPr>
                  <w:tcW w:w="1637" w:type="dxa"/>
                  <w:vAlign w:val="center"/>
                </w:tcPr>
                <w:p w:rsidR="00BD614C" w:rsidRPr="004640FE" w:rsidRDefault="00BD614C" w:rsidP="00BD614C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16800</w:t>
                  </w:r>
                  <w:proofErr w:type="spellEnd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 xml:space="preserve"> ₺</w:t>
                  </w:r>
                </w:p>
              </w:tc>
              <w:tc>
                <w:tcPr>
                  <w:tcW w:w="4241" w:type="dxa"/>
                  <w:vAlign w:val="center"/>
                </w:tcPr>
                <w:p w:rsidR="00BD614C" w:rsidRPr="004640FE" w:rsidRDefault="00BD614C" w:rsidP="00BD614C">
                  <w:pPr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</w:pPr>
                  <w:proofErr w:type="spellStart"/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  <w:lang w:val="tr-TR"/>
                    </w:rPr>
                    <w:t>Düşük risk taşıyan prosesler olması,Çok küçük saha olması,Çalışanların aynı işleri yapıyor olması,Çok büyük bir alanda faaliyet gösterilmesi,Yerel yetkililerle veya şirket ofisleriyle ilişkiler,Lojistik zorluklar olması (Çoklu saha),Ürün tasarım gereklilikleri</w:t>
                  </w:r>
                  <w:proofErr w:type="spellEnd"/>
                </w:p>
              </w:tc>
            </w:tr>
          </w:tbl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 ücretinin % 50’si başvuru aşamasında, geri kalan % 50’si ise sertifika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proofErr w:type="spellEnd"/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tesliminde Müşteri Kuruluş tarafından</w:t>
            </w:r>
            <w:r w:rsidR="00E552D6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edilmesi durumunda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</w:p>
          <w:p w:rsidR="0083701C" w:rsidRPr="008977F9" w:rsidRDefault="0083701C" w:rsidP="00800808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denetim ekibinin</w:t>
            </w:r>
            <w:r w:rsidR="006F25A3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yol ve konaklama giderleri, </w:t>
            </w:r>
            <w:r w:rsidR="0080080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5B41E2">
        <w:trPr>
          <w:trHeight w:val="583"/>
        </w:trPr>
        <w:tc>
          <w:tcPr>
            <w:tcW w:w="10418" w:type="dxa"/>
            <w:shd w:val="clear" w:color="auto" w:fill="F2F2F2"/>
            <w:vAlign w:val="center"/>
          </w:tcPr>
          <w:p w:rsidR="0083701C" w:rsidRPr="008977F9" w:rsidRDefault="00800808" w:rsidP="00B3381F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Sözleşme Süresi ve Yürür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lük</w:t>
            </w:r>
          </w:p>
        </w:tc>
      </w:tr>
      <w:tr w:rsidR="0083701C" w:rsidRPr="008977F9" w:rsidTr="005B41E2">
        <w:tc>
          <w:tcPr>
            <w:tcW w:w="10418" w:type="dxa"/>
            <w:shd w:val="clear" w:color="auto" w:fill="auto"/>
            <w:vAlign w:val="center"/>
          </w:tcPr>
          <w:p w:rsidR="00111EC0" w:rsidRDefault="00111EC0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yukarıda belirtilen şartlara uygun olarak gözetim denetimlerini başarılı bir şekilde tamamla</w:t>
            </w:r>
            <w:r w:rsidR="00B44090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 ve </w:t>
            </w:r>
            <w:proofErr w:type="spell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’ e karşı mali yükümlülüklerini yerine getirme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şartıyla,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sertifika 3 (üç) yıl geçerlidir. 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belgelendirme </w:t>
            </w:r>
            <w:proofErr w:type="gram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prosesinin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başladığı tarihten, sertifika geçerlilik süresi sonuna kadar geçerlidir. 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Kapsam değişikliği ve adres değişikliği denetimlerinde, sözleşme süresinde herhangi bir değişiklik yapılmaz. Belgelendirmenin geçerlilik süresi için, ilk belgelendirme tarihi </w:t>
            </w:r>
            <w:proofErr w:type="gramStart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baz</w:t>
            </w:r>
            <w:proofErr w:type="gramEnd"/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alınarak sertifika yeniden düzenlenir. 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ve ilgili doküman şartları imzalandığı tarihten itibaren yürürlüğe girer.</w:t>
            </w:r>
          </w:p>
          <w:p w:rsidR="00C82505" w:rsidRPr="008977F9" w:rsidRDefault="005B41E2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C8250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un sözleşmede belirttiği adres, tebligat hukuku açısından </w:t>
            </w:r>
            <w:r w:rsidR="000A79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ikametgâhı</w:t>
            </w:r>
            <w:r w:rsidR="00C8250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olarak kabul edilir. Bu adrese gönderilen taahhütlü veya iadeli taahhütlü yazışmalar tebligat hükmünde olacaktır.</w:t>
            </w:r>
          </w:p>
          <w:p w:rsidR="00C82505" w:rsidRDefault="00C82505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İş bu sözleşmenin uygulamasından doğacak itilaflarda Adana Mahkemeleri ve İcra Daireleri yetkilidir.</w:t>
            </w:r>
          </w:p>
          <w:p w:rsidR="004C6D72" w:rsidRPr="004C6D72" w:rsidRDefault="004C6D72" w:rsidP="004C6D7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 sözleşme,  </w:t>
            </w:r>
            <w:proofErr w:type="spellStart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proofErr w:type="spellEnd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 ve  Müşteri Kuruluşta  kalmak  üzere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 (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)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 nüsha  olarak tanzim  edilmiş  olup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 taraflarca karşılıklı olarak </w:t>
            </w:r>
            <w:proofErr w:type="gramStart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........</w:t>
            </w:r>
            <w:proofErr w:type="gramEnd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/......../............. </w:t>
            </w:r>
            <w:proofErr w:type="gramStart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tarihinde</w:t>
            </w:r>
            <w:proofErr w:type="gramEnd"/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imza altına alınmıştır.</w:t>
            </w:r>
          </w:p>
          <w:p w:rsidR="004C6D72" w:rsidRPr="008977F9" w:rsidRDefault="004C6D72" w:rsidP="004C6D7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sözleşme, imzalandığı tarihten itibaren yürürlüğe girer.</w:t>
            </w:r>
          </w:p>
        </w:tc>
      </w:tr>
    </w:tbl>
    <w:p w:rsidR="00BD614C" w:rsidRDefault="00BD614C" w:rsidP="00FC16DB">
      <w:pPr>
        <w:ind w:left="238"/>
        <w:rPr>
          <w:rFonts w:ascii="Arial" w:hAnsi="Arial" w:cs="Arial"/>
          <w:i/>
          <w:sz w:val="22"/>
          <w:szCs w:val="22"/>
          <w:lang w:val="tr-T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13"/>
        <w:gridCol w:w="3489"/>
        <w:gridCol w:w="3482"/>
      </w:tblGrid>
      <w:tr w:rsidR="00BD614C" w:rsidTr="004807FC">
        <w:tc>
          <w:tcPr>
            <w:tcW w:w="2943" w:type="dxa"/>
            <w:hideMark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Aliment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 </w:t>
            </w:r>
          </w:p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  <w:tc>
          <w:tcPr>
            <w:tcW w:w="3544" w:type="dxa"/>
          </w:tcPr>
          <w:p w:rsidR="00BD614C" w:rsidRDefault="00BD614C" w:rsidP="004807FC">
            <w:pPr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  <w:hideMark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TASTOPİA FACTORY GIDA İNŞAAT TAAHHÜT İTHALAT İHRACAT SAN. VE TİC. LTD. ŞTİ.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 </w:t>
            </w:r>
          </w:p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</w:tr>
      <w:tr w:rsidR="00BD614C" w:rsidTr="004807FC">
        <w:tc>
          <w:tcPr>
            <w:tcW w:w="2943" w:type="dxa"/>
            <w:hideMark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3544" w:type="dxa"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  <w:hideMark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æfirmayetkilisiæ</w:t>
            </w:r>
            <w:proofErr w:type="spellEnd"/>
          </w:p>
        </w:tc>
      </w:tr>
      <w:tr w:rsidR="00BD614C" w:rsidTr="004807FC">
        <w:tc>
          <w:tcPr>
            <w:tcW w:w="2943" w:type="dxa"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44" w:type="dxa"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  <w:tr w:rsidR="00BD614C" w:rsidTr="004807FC">
        <w:tc>
          <w:tcPr>
            <w:tcW w:w="2943" w:type="dxa"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44" w:type="dxa"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3510" w:type="dxa"/>
            <w:hideMark/>
          </w:tcPr>
          <w:p w:rsidR="00BD614C" w:rsidRDefault="00BD614C" w:rsidP="004807FC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imza,kaşe</w:t>
            </w:r>
            <w:proofErr w:type="spellEnd"/>
            <w:proofErr w:type="gramEnd"/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)</w:t>
            </w:r>
          </w:p>
        </w:tc>
      </w:tr>
    </w:tbl>
    <w:p w:rsidR="008E077A" w:rsidRPr="008977F9" w:rsidRDefault="008E077A" w:rsidP="00766507">
      <w:pPr>
        <w:ind w:left="238"/>
        <w:rPr>
          <w:rFonts w:ascii="Arial" w:hAnsi="Arial" w:cs="Arial"/>
          <w:lang w:val="tr-TR"/>
        </w:rPr>
      </w:pPr>
      <w:bookmarkStart w:id="0" w:name="_GoBack"/>
      <w:bookmarkEnd w:id="0"/>
    </w:p>
    <w:sectPr w:rsidR="008E077A" w:rsidRPr="008977F9" w:rsidSect="0080650C">
      <w:headerReference w:type="even" r:id="rId12"/>
      <w:headerReference w:type="default" r:id="rId13"/>
      <w:footerReference w:type="default" r:id="rId14"/>
      <w:pgSz w:w="11906" w:h="16838"/>
      <w:pgMar w:top="1921" w:right="746" w:bottom="1418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EAC" w:rsidRDefault="00341EAC">
      <w:r>
        <w:separator/>
      </w:r>
    </w:p>
  </w:endnote>
  <w:endnote w:type="continuationSeparator" w:id="0">
    <w:p w:rsidR="00341EAC" w:rsidRDefault="0034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:rsidR="00FB1031" w:rsidRPr="005B483A" w:rsidRDefault="001C4A4B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AFR.03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FB1031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12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D60E16" w:rsidP="00D60E1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07</w:t>
          </w:r>
          <w:r w:rsidR="008F0688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  <w:r w:rsidR="002F0B6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2338B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2338B9" w:rsidP="00D60E1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60E1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8</w:t>
          </w:r>
        </w:p>
      </w:tc>
      <w:tc>
        <w:tcPr>
          <w:tcW w:w="2081" w:type="dxa"/>
          <w:shd w:val="clear" w:color="auto" w:fill="auto"/>
          <w:vAlign w:val="center"/>
        </w:tcPr>
        <w:p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766507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766507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4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 w:rsidP="00FB1031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EAC" w:rsidRDefault="00341EAC">
      <w:r>
        <w:separator/>
      </w:r>
    </w:p>
  </w:footnote>
  <w:footnote w:type="continuationSeparator" w:id="0">
    <w:p w:rsidR="00341EAC" w:rsidRDefault="00341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0053" w:rsidRPr="00EA5FC3" w:rsidRDefault="00EA5FC3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>BELGELEND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RME </w:t>
          </w:r>
        </w:p>
        <w:p w:rsidR="000C6B05" w:rsidRPr="00EA5FC3" w:rsidRDefault="00EA5FC3" w:rsidP="00EA5FC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>TEKL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>F</w:t>
          </w:r>
          <w:r w:rsidR="000A79FF"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EA5FC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VE SÖZLEŞMES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6B05" w:rsidRPr="00EA5FC3" w:rsidRDefault="0052680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A5FC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>
                <wp:extent cx="1333500" cy="923925"/>
                <wp:effectExtent l="0" t="0" r="0" b="0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2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0"/>
  </w:num>
  <w:num w:numId="11">
    <w:abstractNumId w:val="1"/>
  </w:num>
  <w:num w:numId="12">
    <w:abstractNumId w:val="0"/>
  </w:num>
  <w:num w:numId="13">
    <w:abstractNumId w:val="13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6"/>
  </w:num>
  <w:num w:numId="24">
    <w:abstractNumId w:val="19"/>
  </w:num>
  <w:num w:numId="25">
    <w:abstractNumId w:val="18"/>
  </w:num>
  <w:num w:numId="26">
    <w:abstractNumId w:val="17"/>
  </w:num>
  <w:num w:numId="27">
    <w:abstractNumId w:val="4"/>
  </w:num>
  <w:num w:numId="28">
    <w:abstractNumId w:val="5"/>
  </w:num>
  <w:num w:numId="29">
    <w:abstractNumId w:val="22"/>
  </w:num>
  <w:num w:numId="3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54E9"/>
    <w:rsid w:val="00010536"/>
    <w:rsid w:val="00021EAA"/>
    <w:rsid w:val="0002282D"/>
    <w:rsid w:val="00026808"/>
    <w:rsid w:val="000307FE"/>
    <w:rsid w:val="00034897"/>
    <w:rsid w:val="00046CA1"/>
    <w:rsid w:val="00051A15"/>
    <w:rsid w:val="00076D1E"/>
    <w:rsid w:val="000770C2"/>
    <w:rsid w:val="00084FF3"/>
    <w:rsid w:val="000A4EBC"/>
    <w:rsid w:val="000A79FF"/>
    <w:rsid w:val="000B06EA"/>
    <w:rsid w:val="000C168B"/>
    <w:rsid w:val="000C3707"/>
    <w:rsid w:val="000C6B05"/>
    <w:rsid w:val="00106871"/>
    <w:rsid w:val="00110A3A"/>
    <w:rsid w:val="0011149A"/>
    <w:rsid w:val="00111713"/>
    <w:rsid w:val="00111EC0"/>
    <w:rsid w:val="0011441C"/>
    <w:rsid w:val="00126E49"/>
    <w:rsid w:val="00160364"/>
    <w:rsid w:val="0016090A"/>
    <w:rsid w:val="00162661"/>
    <w:rsid w:val="00164E2A"/>
    <w:rsid w:val="00170D07"/>
    <w:rsid w:val="00184452"/>
    <w:rsid w:val="00191045"/>
    <w:rsid w:val="00197AB8"/>
    <w:rsid w:val="001A091B"/>
    <w:rsid w:val="001B5258"/>
    <w:rsid w:val="001C1C4E"/>
    <w:rsid w:val="001C4A4B"/>
    <w:rsid w:val="001D2B1D"/>
    <w:rsid w:val="001D7236"/>
    <w:rsid w:val="001E56F9"/>
    <w:rsid w:val="0020757B"/>
    <w:rsid w:val="00217488"/>
    <w:rsid w:val="0022343C"/>
    <w:rsid w:val="002274C1"/>
    <w:rsid w:val="002338B9"/>
    <w:rsid w:val="00240AB4"/>
    <w:rsid w:val="0024740B"/>
    <w:rsid w:val="00251E79"/>
    <w:rsid w:val="002612C5"/>
    <w:rsid w:val="002669AC"/>
    <w:rsid w:val="0027113D"/>
    <w:rsid w:val="00275C20"/>
    <w:rsid w:val="0028554B"/>
    <w:rsid w:val="00294E4E"/>
    <w:rsid w:val="002A2D89"/>
    <w:rsid w:val="002B7BCA"/>
    <w:rsid w:val="002C20CF"/>
    <w:rsid w:val="002C28D3"/>
    <w:rsid w:val="002C5C25"/>
    <w:rsid w:val="002F0B6D"/>
    <w:rsid w:val="00311FAA"/>
    <w:rsid w:val="003124C6"/>
    <w:rsid w:val="00322D44"/>
    <w:rsid w:val="003366DA"/>
    <w:rsid w:val="00341EAC"/>
    <w:rsid w:val="003540C5"/>
    <w:rsid w:val="00372C7A"/>
    <w:rsid w:val="003857A1"/>
    <w:rsid w:val="003C5CCD"/>
    <w:rsid w:val="003D7CEB"/>
    <w:rsid w:val="003E0337"/>
    <w:rsid w:val="003E5117"/>
    <w:rsid w:val="003E53CD"/>
    <w:rsid w:val="003F5298"/>
    <w:rsid w:val="003F6CA7"/>
    <w:rsid w:val="00403E2E"/>
    <w:rsid w:val="004119AC"/>
    <w:rsid w:val="00414B91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F6F"/>
    <w:rsid w:val="004C51D6"/>
    <w:rsid w:val="004C6D72"/>
    <w:rsid w:val="004C7425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26802"/>
    <w:rsid w:val="00535C9F"/>
    <w:rsid w:val="00537873"/>
    <w:rsid w:val="005522CD"/>
    <w:rsid w:val="00555949"/>
    <w:rsid w:val="0058229E"/>
    <w:rsid w:val="00594CA6"/>
    <w:rsid w:val="005A2144"/>
    <w:rsid w:val="005A4BFD"/>
    <w:rsid w:val="005B41E2"/>
    <w:rsid w:val="005B483A"/>
    <w:rsid w:val="005C3AA2"/>
    <w:rsid w:val="005E40DF"/>
    <w:rsid w:val="005F0136"/>
    <w:rsid w:val="005F23D9"/>
    <w:rsid w:val="005F5AE2"/>
    <w:rsid w:val="005F5C77"/>
    <w:rsid w:val="0060333D"/>
    <w:rsid w:val="00607AC4"/>
    <w:rsid w:val="0061165B"/>
    <w:rsid w:val="00632197"/>
    <w:rsid w:val="006345CD"/>
    <w:rsid w:val="00660415"/>
    <w:rsid w:val="0067191E"/>
    <w:rsid w:val="00676ABD"/>
    <w:rsid w:val="00683ED5"/>
    <w:rsid w:val="00693891"/>
    <w:rsid w:val="006A488F"/>
    <w:rsid w:val="006B3EDA"/>
    <w:rsid w:val="006C07FA"/>
    <w:rsid w:val="006C76A9"/>
    <w:rsid w:val="006D303D"/>
    <w:rsid w:val="006E2FF6"/>
    <w:rsid w:val="006E3A10"/>
    <w:rsid w:val="006E3C48"/>
    <w:rsid w:val="006F0F9D"/>
    <w:rsid w:val="006F25A3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66507"/>
    <w:rsid w:val="007744BB"/>
    <w:rsid w:val="00775722"/>
    <w:rsid w:val="00785369"/>
    <w:rsid w:val="007A2608"/>
    <w:rsid w:val="007A308D"/>
    <w:rsid w:val="007B061F"/>
    <w:rsid w:val="007B38C9"/>
    <w:rsid w:val="007B3A2A"/>
    <w:rsid w:val="007B5255"/>
    <w:rsid w:val="007C76DC"/>
    <w:rsid w:val="007E1EB6"/>
    <w:rsid w:val="007E523A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72B07"/>
    <w:rsid w:val="00877A98"/>
    <w:rsid w:val="00881100"/>
    <w:rsid w:val="00887AB9"/>
    <w:rsid w:val="00893E4B"/>
    <w:rsid w:val="008977F9"/>
    <w:rsid w:val="00897F45"/>
    <w:rsid w:val="008A0705"/>
    <w:rsid w:val="008C2B89"/>
    <w:rsid w:val="008C4C3C"/>
    <w:rsid w:val="008E077A"/>
    <w:rsid w:val="008F0688"/>
    <w:rsid w:val="008F4508"/>
    <w:rsid w:val="0091163B"/>
    <w:rsid w:val="00911643"/>
    <w:rsid w:val="009146E1"/>
    <w:rsid w:val="009360A7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B4C09"/>
    <w:rsid w:val="009D0722"/>
    <w:rsid w:val="009D16A6"/>
    <w:rsid w:val="009D2CBB"/>
    <w:rsid w:val="00A01B86"/>
    <w:rsid w:val="00A13EC5"/>
    <w:rsid w:val="00A24DB9"/>
    <w:rsid w:val="00A26B0E"/>
    <w:rsid w:val="00A321EB"/>
    <w:rsid w:val="00A44918"/>
    <w:rsid w:val="00A47685"/>
    <w:rsid w:val="00A672FC"/>
    <w:rsid w:val="00A75818"/>
    <w:rsid w:val="00A76A37"/>
    <w:rsid w:val="00A8150D"/>
    <w:rsid w:val="00A859BF"/>
    <w:rsid w:val="00AC6FE7"/>
    <w:rsid w:val="00AC71EE"/>
    <w:rsid w:val="00AD17FA"/>
    <w:rsid w:val="00AD3689"/>
    <w:rsid w:val="00AD699D"/>
    <w:rsid w:val="00AE333D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5129D"/>
    <w:rsid w:val="00B674CB"/>
    <w:rsid w:val="00B747F3"/>
    <w:rsid w:val="00B75108"/>
    <w:rsid w:val="00B85C79"/>
    <w:rsid w:val="00BA0341"/>
    <w:rsid w:val="00BC182B"/>
    <w:rsid w:val="00BC368A"/>
    <w:rsid w:val="00BC5AC5"/>
    <w:rsid w:val="00BD224B"/>
    <w:rsid w:val="00BD614C"/>
    <w:rsid w:val="00BE4F3A"/>
    <w:rsid w:val="00C05758"/>
    <w:rsid w:val="00C1428A"/>
    <w:rsid w:val="00C2257E"/>
    <w:rsid w:val="00C249FC"/>
    <w:rsid w:val="00C26161"/>
    <w:rsid w:val="00C31932"/>
    <w:rsid w:val="00C3413F"/>
    <w:rsid w:val="00C34E06"/>
    <w:rsid w:val="00C46EE8"/>
    <w:rsid w:val="00C56119"/>
    <w:rsid w:val="00C60987"/>
    <w:rsid w:val="00C7203C"/>
    <w:rsid w:val="00C76511"/>
    <w:rsid w:val="00C82505"/>
    <w:rsid w:val="00C900C4"/>
    <w:rsid w:val="00C95A8D"/>
    <w:rsid w:val="00CA2603"/>
    <w:rsid w:val="00CA75E8"/>
    <w:rsid w:val="00CB0246"/>
    <w:rsid w:val="00CB7E44"/>
    <w:rsid w:val="00CD41A4"/>
    <w:rsid w:val="00CF32F2"/>
    <w:rsid w:val="00D21C71"/>
    <w:rsid w:val="00D24113"/>
    <w:rsid w:val="00D3212D"/>
    <w:rsid w:val="00D33E2B"/>
    <w:rsid w:val="00D547E6"/>
    <w:rsid w:val="00D60E16"/>
    <w:rsid w:val="00D864A8"/>
    <w:rsid w:val="00D94950"/>
    <w:rsid w:val="00D96B38"/>
    <w:rsid w:val="00DA3D56"/>
    <w:rsid w:val="00DB6B4E"/>
    <w:rsid w:val="00DE5156"/>
    <w:rsid w:val="00E13FCA"/>
    <w:rsid w:val="00E22CDD"/>
    <w:rsid w:val="00E27B86"/>
    <w:rsid w:val="00E409E6"/>
    <w:rsid w:val="00E552D6"/>
    <w:rsid w:val="00E64BB9"/>
    <w:rsid w:val="00E70567"/>
    <w:rsid w:val="00E71E5C"/>
    <w:rsid w:val="00E774E1"/>
    <w:rsid w:val="00E81353"/>
    <w:rsid w:val="00E95A6A"/>
    <w:rsid w:val="00E97929"/>
    <w:rsid w:val="00EA2E16"/>
    <w:rsid w:val="00EA533F"/>
    <w:rsid w:val="00EA5FC3"/>
    <w:rsid w:val="00EC0DC1"/>
    <w:rsid w:val="00EC24DE"/>
    <w:rsid w:val="00EC7467"/>
    <w:rsid w:val="00ED0E2B"/>
    <w:rsid w:val="00EE2E6D"/>
    <w:rsid w:val="00EE6614"/>
    <w:rsid w:val="00EE7739"/>
    <w:rsid w:val="00EE7C9F"/>
    <w:rsid w:val="00EF130D"/>
    <w:rsid w:val="00EF1D82"/>
    <w:rsid w:val="00EF4EA7"/>
    <w:rsid w:val="00F2799A"/>
    <w:rsid w:val="00F31B99"/>
    <w:rsid w:val="00F331B9"/>
    <w:rsid w:val="00F35058"/>
    <w:rsid w:val="00F4105C"/>
    <w:rsid w:val="00F43D83"/>
    <w:rsid w:val="00F45F6C"/>
    <w:rsid w:val="00F46361"/>
    <w:rsid w:val="00F557D4"/>
    <w:rsid w:val="00F5792D"/>
    <w:rsid w:val="00F62F68"/>
    <w:rsid w:val="00F661EB"/>
    <w:rsid w:val="00F7536E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4952F90D-9865-421A-ACE8-224E0525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4C6D72"/>
    <w:pPr>
      <w:autoSpaceDE/>
      <w:autoSpaceDN/>
      <w:adjustRightInd/>
    </w:pPr>
    <w:rPr>
      <w:rFonts w:ascii="Calibri" w:eastAsia="Calibri" w:hAnsi="Calibri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ment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ment.com.t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lime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iment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912</Words>
  <Characters>7292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8188</CharactersWithSpaces>
  <SharedDoc>false</SharedDoc>
  <HLinks>
    <vt:vector size="24" baseType="variant">
      <vt:variant>
        <vt:i4>6750242</vt:i4>
      </vt:variant>
      <vt:variant>
        <vt:i4>9</vt:i4>
      </vt:variant>
      <vt:variant>
        <vt:i4>0</vt:i4>
      </vt:variant>
      <vt:variant>
        <vt:i4>5</vt:i4>
      </vt:variant>
      <vt:variant>
        <vt:lpwstr>http://www.aliment.com.tr/</vt:lpwstr>
      </vt:variant>
      <vt:variant>
        <vt:lpwstr/>
      </vt:variant>
      <vt:variant>
        <vt:i4>3932286</vt:i4>
      </vt:variant>
      <vt:variant>
        <vt:i4>6</vt:i4>
      </vt:variant>
      <vt:variant>
        <vt:i4>0</vt:i4>
      </vt:variant>
      <vt:variant>
        <vt:i4>5</vt:i4>
      </vt:variant>
      <vt:variant>
        <vt:lpwstr>http://www.aliment.com/</vt:lpwstr>
      </vt:variant>
      <vt:variant>
        <vt:lpwstr/>
      </vt:variant>
      <vt:variant>
        <vt:i4>3932286</vt:i4>
      </vt:variant>
      <vt:variant>
        <vt:i4>3</vt:i4>
      </vt:variant>
      <vt:variant>
        <vt:i4>0</vt:i4>
      </vt:variant>
      <vt:variant>
        <vt:i4>5</vt:i4>
      </vt:variant>
      <vt:variant>
        <vt:lpwstr>http://www.aliment.com/</vt:lpwstr>
      </vt:variant>
      <vt:variant>
        <vt:lpwstr/>
      </vt:variant>
      <vt:variant>
        <vt:i4>3932286</vt:i4>
      </vt:variant>
      <vt:variant>
        <vt:i4>0</vt:i4>
      </vt:variant>
      <vt:variant>
        <vt:i4>0</vt:i4>
      </vt:variant>
      <vt:variant>
        <vt:i4>5</vt:i4>
      </vt:variant>
      <vt:variant>
        <vt:lpwstr>http://www.aliment.com/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Microsoft hesabı</cp:lastModifiedBy>
  <cp:revision>4</cp:revision>
  <cp:lastPrinted>2008-01-11T13:40:00Z</cp:lastPrinted>
  <dcterms:created xsi:type="dcterms:W3CDTF">2021-07-08T13:27:00Z</dcterms:created>
  <dcterms:modified xsi:type="dcterms:W3CDTF">2021-08-16T06:32:00Z</dcterms:modified>
</cp:coreProperties>
</file>