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Öncelikle res  içine bir font dizini oluşturulur.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rtl w:val="0"/>
        </w:rPr>
        <w:t xml:space="preserve">Resource type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olarak font seçilmelidir. Varolan fontlar bu dizin içine kaydedilebilir. Eğer yeni font oluşturulmak istenirse, font dizinine sağ tıklanıp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rtl w:val="0"/>
        </w:rPr>
        <w:t xml:space="preserve">New &gt; Font resource file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yolu izlenerek yeni font xml dosyası oluşturulabilir.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</w:rPr>
        <w:drawing>
          <wp:inline distB="114300" distT="114300" distL="114300" distR="114300">
            <wp:extent cx="2847975" cy="24670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011" l="0" r="50332" t="1858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Oluşturulan xml dosyası içinde font taglarının içerisine istenilen özelliklerde fontlar oluşturularak kullanılabilir.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android:font="@font/fontName"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 bu kısımda ise daha sonra kullanmak için fonta isim verilebilir.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android:fontWeight="fontName"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değerini arttırarak bold fontlarda oluşturulabilir.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&lt;font-family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&lt;font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:fontStyle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="normal"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:fontWeight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="400"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="@font/lobster_regular" 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&lt;font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:fontStyle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="italic"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:fontWeight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="400"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:font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="@font/lobster_italic" 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&lt;/font-family&gt;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Oluşturulan fontlar;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layout xml’i içindeki TextView’da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android:fontFamily="@font/fontName"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şeklinde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style.xml içinde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&lt;item name="android:fontFamily"&gt;@font/fontName&lt;/item&gt;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seklinde çağırılabilir.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Oluşturulan fontu programatik olarak kullanmı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val typeface = resources.getFont(R.font.myfont)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textView.typeface = typeface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şeklindedir. TextView içerisinde kullanmak daha kolay ve daha temiz bir kullanım sağlamaktadır.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