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DE95" w14:textId="6FDE235E" w:rsidR="00E26319" w:rsidRPr="00E26319" w:rsidRDefault="00FE4F30" w:rsidP="00E26319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731C5" w14:textId="77777777" w:rsidR="00E26319" w:rsidRDefault="00E26319" w:rsidP="00E26319">
      <w:pPr>
        <w:rPr>
          <w:rFonts w:ascii="Times New Roman" w:hAnsi="Times New Roman" w:cs="Times New Roman"/>
          <w:sz w:val="24"/>
          <w:szCs w:val="24"/>
        </w:rPr>
      </w:pPr>
    </w:p>
    <w:p w14:paraId="4FFE4ED8" w14:textId="45B4DB00" w:rsidR="00E26319" w:rsidRPr="00E26319" w:rsidRDefault="00E26319" w:rsidP="00E26319">
      <w:pPr>
        <w:pStyle w:val="stBilgi"/>
        <w:jc w:val="center"/>
        <w:rPr>
          <w:b/>
          <w:bCs/>
          <w:sz w:val="40"/>
          <w:szCs w:val="40"/>
        </w:rPr>
      </w:pPr>
      <w:r w:rsidRPr="00E26319">
        <w:rPr>
          <w:b/>
          <w:bCs/>
          <w:sz w:val="40"/>
          <w:szCs w:val="40"/>
        </w:rPr>
        <w:t xml:space="preserve">Proje Başlatma Belgesi </w:t>
      </w:r>
    </w:p>
    <w:p w14:paraId="0A22C7ED" w14:textId="6A238564" w:rsidR="00E26319" w:rsidRPr="00E26319" w:rsidRDefault="00E26319" w:rsidP="00E26319">
      <w:pPr>
        <w:tabs>
          <w:tab w:val="left" w:pos="176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36ADBBE" w14:textId="77777777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2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6"/>
        <w:gridCol w:w="3708"/>
        <w:gridCol w:w="146"/>
      </w:tblGrid>
      <w:tr w:rsidR="00E26319" w:rsidRPr="00A078B2" w14:paraId="42819200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DEF1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Başlatma Belgesi </w:t>
            </w:r>
          </w:p>
        </w:tc>
      </w:tr>
      <w:tr w:rsidR="00E26319" w:rsidRPr="00A078B2" w14:paraId="59C7CFC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FCAEAA7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  <w:t xml:space="preserve">Proje Yöneticisinin Adı-Soyadı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6991503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  <w:t>Proje Sponsorunun Adı-Soyadı</w:t>
            </w:r>
          </w:p>
        </w:tc>
      </w:tr>
      <w:tr w:rsidR="00E26319" w:rsidRPr="00A078B2" w14:paraId="5E4ADFBC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17C091F" w14:textId="12534F0B" w:rsidR="00E26319" w:rsidRPr="00A078B2" w:rsidRDefault="00DF09CA" w:rsidP="00DF09C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Özlem Savran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E76CAB1" w14:textId="37F3B8BD" w:rsidR="00E26319" w:rsidRPr="00DF09CA" w:rsidRDefault="00DF09CA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DF09CA">
              <w:rPr>
                <w:sz w:val="28"/>
                <w:szCs w:val="28"/>
              </w:rPr>
              <w:t>Aurora Hastanesi</w:t>
            </w:r>
          </w:p>
        </w:tc>
      </w:tr>
      <w:tr w:rsidR="00E26319" w:rsidRPr="00A078B2" w14:paraId="5FBAE6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1DAA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 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F1F4" w14:textId="5764F635" w:rsidR="00E26319" w:rsidRPr="00DF09CA" w:rsidRDefault="00DF09CA" w:rsidP="00C70E9C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tr-TR"/>
              </w:rPr>
            </w:pPr>
            <w:r w:rsidRPr="00DF09CA">
              <w:rPr>
                <w:rFonts w:asciiTheme="minorHAnsi" w:hAnsiTheme="minorHAnsi" w:cstheme="minorHAnsi"/>
                <w:sz w:val="28"/>
                <w:szCs w:val="28"/>
              </w:rPr>
              <w:t>Aurora Hasta Akış Optimizasyonu Projesi</w:t>
            </w:r>
          </w:p>
        </w:tc>
      </w:tr>
      <w:tr w:rsidR="00E26319" w:rsidRPr="00A078B2" w14:paraId="1495BAC6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02598D8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Proje Müşterisi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D655C60" w14:textId="6F13CDCD" w:rsidR="00E26319" w:rsidRPr="00A078B2" w:rsidRDefault="00DF09CA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Aurora Hastanesi</w:t>
            </w:r>
          </w:p>
        </w:tc>
      </w:tr>
      <w:tr w:rsidR="00E26319" w:rsidRPr="00A078B2" w14:paraId="6695000A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06FC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Özet Proje Tanımı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B85E1" w14:textId="797F7F42" w:rsidR="00DF09CA" w:rsidRPr="00DF09CA" w:rsidRDefault="00DF09CA" w:rsidP="00DF09CA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DF09C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Aurora Hastanesi'nde cerrahi süreçlerdeki gecikmelerin ve kemoterapi ile radyoloji randevularında uzun bekleme sürelerinin azaltılması amacıyla, Borda Technology'nin Lighthouse Patient Throughput Management ürünü</w:t>
            </w:r>
            <w:r w:rsidR="000A158E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uygulanacak ve geliştirilecektir</w:t>
            </w:r>
            <w:r w:rsidRPr="00DF09C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. Proje, mevcut ürünün cerrahi süreçlere yönelik özelliklerini</w:t>
            </w:r>
            <w:r w:rsidR="000A158E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n</w:t>
            </w:r>
            <w:r w:rsidRPr="00DF09C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devreye </w:t>
            </w:r>
            <w:r w:rsidR="000A158E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alınmasını</w:t>
            </w:r>
            <w:r w:rsidRPr="00DF09C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ve </w:t>
            </w:r>
            <w:r w:rsidR="000A158E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kemoterapi,</w:t>
            </w:r>
            <w:r w:rsidRPr="00DF09C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radyoloji süreçleri için yeni özellikler geliştirmeyi hedeflemektedir. Bu sayede, hasta akışı optimize edilerek hasta memnuniyetinin artırılması sağlanacaktır.</w:t>
            </w:r>
          </w:p>
          <w:p w14:paraId="40B7CF35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E26319" w:rsidRPr="00A078B2" w14:paraId="2121176B" w14:textId="77777777" w:rsidTr="00C70E9C">
        <w:trPr>
          <w:gridAfter w:val="1"/>
          <w:wAfter w:w="146" w:type="dxa"/>
          <w:trHeight w:val="121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2F6D06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Projenin Temel Hedefi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B0067C8" w14:textId="5FCE3C8D" w:rsidR="00A070BC" w:rsidRDefault="00A070BC" w:rsidP="00A070B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Hasta bekleme süresini azaltmak.</w:t>
            </w:r>
          </w:p>
          <w:p w14:paraId="411BFFE6" w14:textId="37ED94EA" w:rsidR="00A070BC" w:rsidRDefault="00A070BC" w:rsidP="00A070B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Hastane iş akışını kolaylaştırmak</w:t>
            </w:r>
          </w:p>
          <w:p w14:paraId="1F7686E1" w14:textId="063EFF05" w:rsidR="00E26319" w:rsidRPr="00A078B2" w:rsidRDefault="00A070BC" w:rsidP="00A070B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0BC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Hasta memnuniyetini artırmak ve iş zekâsı raporlamasıyla </w:t>
            </w:r>
            <w:r w:rsidRPr="00A070BC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lastRenderedPageBreak/>
              <w:t>süreçlerin iyileştirilmesine olanak sağlamak.</w:t>
            </w:r>
          </w:p>
        </w:tc>
      </w:tr>
      <w:tr w:rsidR="00E26319" w:rsidRPr="00A078B2" w14:paraId="64B32CCE" w14:textId="77777777" w:rsidTr="00C70E9C">
        <w:trPr>
          <w:gridAfter w:val="1"/>
          <w:wAfter w:w="146" w:type="dxa"/>
          <w:trHeight w:val="11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27C2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lastRenderedPageBreak/>
              <w:t xml:space="preserve">Projenin Özet Gerekçesi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06AE" w14:textId="0522680F" w:rsidR="00E26319" w:rsidRPr="00A078B2" w:rsidRDefault="00A070BC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Operasyonların gecikmesi, hasta ve personel konforunu azaltmaktadır. Hastane bütçesine de olumsuz katkı sağlıyor.</w:t>
            </w:r>
          </w:p>
        </w:tc>
      </w:tr>
      <w:tr w:rsidR="00E26319" w:rsidRPr="00A078B2" w14:paraId="302C2AE9" w14:textId="77777777" w:rsidTr="00C70E9C">
        <w:trPr>
          <w:gridAfter w:val="1"/>
          <w:wAfter w:w="146" w:type="dxa"/>
          <w:trHeight w:val="163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CAD4BE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Proje Sonucunda Ouşturulması Hedeflenen Çıktılar</w:t>
            </w: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br/>
              <w:t xml:space="preserve">(Teslimatlar)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8506B2B" w14:textId="0B708FEB" w:rsidR="00A070BC" w:rsidRPr="00A078B2" w:rsidRDefault="00A070BC" w:rsidP="000A158E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E26319" w:rsidRPr="00A078B2" w14:paraId="6342211F" w14:textId="77777777" w:rsidTr="00C70E9C">
        <w:trPr>
          <w:gridAfter w:val="1"/>
          <w:wAfter w:w="146" w:type="dxa"/>
          <w:trHeight w:val="14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01C4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Kısıtlar ve Varsayımlar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B3294" w14:textId="303A5488" w:rsidR="002913C0" w:rsidRDefault="000A158E" w:rsidP="000A158E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Zaman: Projenin 6 ay içerisinde tamamlanması gerekmektedir.</w:t>
            </w:r>
          </w:p>
          <w:p w14:paraId="7DEBAEDE" w14:textId="509AB0FE" w:rsidR="000A158E" w:rsidRDefault="000A158E" w:rsidP="000A158E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Bütçe: 750.000 </w:t>
            </w:r>
          </w:p>
          <w:p w14:paraId="6EBF0C86" w14:textId="77777777" w:rsidR="000A158E" w:rsidRPr="000A158E" w:rsidRDefault="000A158E" w:rsidP="000A158E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A158E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Kaynaklar: Donanım, yazılım geliştirme, test ve kullanıcı eğitimi için yeterli kaynak tahsis edilmelidir.</w:t>
            </w:r>
          </w:p>
          <w:p w14:paraId="5B371F1B" w14:textId="2E186397" w:rsidR="000A158E" w:rsidRDefault="000A158E" w:rsidP="000A158E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A158E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Yasal düzenlemeler: Hasta verilerinin gizliliği ve güvenliği yasal gerekliliklere uygun olmalıdı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r.</w:t>
            </w:r>
          </w:p>
          <w:p w14:paraId="422F7270" w14:textId="406C1495" w:rsidR="002913C0" w:rsidRDefault="002913C0" w:rsidP="002913C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558B7CDE" w14:textId="5400BC8B" w:rsidR="002913C0" w:rsidRPr="00A078B2" w:rsidRDefault="002913C0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E26319" w:rsidRPr="00A078B2" w14:paraId="3C6D8EB2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FD7F3F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Potansiyel Proje Riskleri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050D9ECF" w14:textId="77777777" w:rsidR="00E26319" w:rsidRDefault="002913C0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Teknik Riskler; Donanım Kurulumu, Entegrasyon Sorunları, Veri yetersizliği</w:t>
            </w:r>
          </w:p>
          <w:p w14:paraId="73FA92E5" w14:textId="77777777" w:rsidR="002913C0" w:rsidRDefault="002913C0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Bütçe Aşımı</w:t>
            </w:r>
          </w:p>
          <w:p w14:paraId="5A12F5E9" w14:textId="77777777" w:rsidR="002913C0" w:rsidRDefault="002913C0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Personel yetersizliği</w:t>
            </w:r>
          </w:p>
          <w:p w14:paraId="6A077DAF" w14:textId="10E8254E" w:rsidR="002913C0" w:rsidRPr="00A078B2" w:rsidRDefault="002913C0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E26319" w:rsidRPr="00A078B2" w14:paraId="359DEB25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20A0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Anahtar Paydaşlar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8869" w14:textId="77777777" w:rsidR="002913C0" w:rsidRDefault="002913C0" w:rsidP="002913C0">
            <w:pPr>
              <w:jc w:val="center"/>
              <w:rPr>
                <w:rStyle w:val="Gl"/>
                <w:b w:val="0"/>
                <w:bCs w:val="0"/>
                <w:sz w:val="28"/>
                <w:szCs w:val="28"/>
              </w:rPr>
            </w:pPr>
            <w:r w:rsidRPr="002913C0">
              <w:rPr>
                <w:rStyle w:val="Gl"/>
                <w:b w:val="0"/>
                <w:bCs w:val="0"/>
                <w:sz w:val="28"/>
                <w:szCs w:val="28"/>
              </w:rPr>
              <w:t>Aurora Hastanesi Yöneticileri ve Kalite Departmanı</w:t>
            </w:r>
          </w:p>
          <w:p w14:paraId="06AF7A3E" w14:textId="7AD19885" w:rsidR="002913C0" w:rsidRDefault="002913C0" w:rsidP="00291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Borda Technology (ürün sağlayıcı)</w:t>
            </w:r>
          </w:p>
          <w:p w14:paraId="61258552" w14:textId="77777777" w:rsidR="002913C0" w:rsidRDefault="002913C0" w:rsidP="00291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Hastane personeli</w:t>
            </w:r>
          </w:p>
          <w:p w14:paraId="118C9B4C" w14:textId="77777777" w:rsidR="002913C0" w:rsidRDefault="002913C0" w:rsidP="00291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ve Kurulum Ekibi</w:t>
            </w:r>
          </w:p>
          <w:p w14:paraId="1CD86B6D" w14:textId="72D1B5FA" w:rsidR="002913C0" w:rsidRPr="002913C0" w:rsidRDefault="002913C0" w:rsidP="00291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Hastalar</w:t>
            </w:r>
          </w:p>
        </w:tc>
      </w:tr>
      <w:tr w:rsidR="00E26319" w:rsidRPr="00A078B2" w14:paraId="72737448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52CD47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lastRenderedPageBreak/>
              <w:t xml:space="preserve">Tahmini Bütçe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199C04F" w14:textId="4579A975" w:rsidR="00E26319" w:rsidRPr="00A078B2" w:rsidRDefault="00E26319" w:rsidP="000A158E">
            <w:pPr>
              <w:spacing w:line="600" w:lineRule="auto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E26319" w:rsidRPr="00A078B2" w14:paraId="20FFE870" w14:textId="77777777" w:rsidTr="00C70E9C">
        <w:trPr>
          <w:gridAfter w:val="1"/>
          <w:wAfter w:w="146" w:type="dxa"/>
          <w:trHeight w:val="126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E956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 Kabul Gereksinimleri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E4D66" w14:textId="77777777" w:rsidR="00E26319" w:rsidRPr="00B02426" w:rsidRDefault="00E4334F" w:rsidP="00E4334F">
            <w:pPr>
              <w:rPr>
                <w:sz w:val="28"/>
                <w:szCs w:val="28"/>
              </w:rPr>
            </w:pPr>
            <w:r w:rsidRPr="00B024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Hasta Akışı İyileştirme:</w:t>
            </w:r>
            <w:r w:rsidRPr="00B02426">
              <w:rPr>
                <w:sz w:val="28"/>
                <w:szCs w:val="28"/>
              </w:rPr>
              <w:t xml:space="preserve"> Yazılım, hasta akışını optimize edecek ve planlanan cerrahi işlem sürelerini %40 oranında azaltarak, kemoterapi ve radyoloji için bekleme sürelerini %20 oranında kısaltacak şekilde çalışmalı.</w:t>
            </w:r>
          </w:p>
          <w:p w14:paraId="411BD38D" w14:textId="77777777" w:rsidR="00E4334F" w:rsidRPr="00B02426" w:rsidRDefault="00E4334F" w:rsidP="00E4334F">
            <w:pPr>
              <w:rPr>
                <w:sz w:val="28"/>
                <w:szCs w:val="28"/>
              </w:rPr>
            </w:pPr>
          </w:p>
          <w:p w14:paraId="18C61FE3" w14:textId="77777777" w:rsidR="00E4334F" w:rsidRPr="00B02426" w:rsidRDefault="00E4334F" w:rsidP="00E4334F">
            <w:pPr>
              <w:rPr>
                <w:sz w:val="28"/>
                <w:szCs w:val="28"/>
              </w:rPr>
            </w:pPr>
            <w:r w:rsidRPr="00B02426">
              <w:rPr>
                <w:sz w:val="28"/>
                <w:szCs w:val="28"/>
              </w:rPr>
              <w:t>Yazılım, hızlı ve iteratif özellik geliştirme ile her departmana uyum sağlamalıdır.</w:t>
            </w:r>
          </w:p>
          <w:p w14:paraId="16634758" w14:textId="77777777" w:rsidR="00E4334F" w:rsidRPr="00B02426" w:rsidRDefault="00E4334F" w:rsidP="00E4334F">
            <w:pPr>
              <w:rPr>
                <w:sz w:val="28"/>
                <w:szCs w:val="28"/>
              </w:rPr>
            </w:pPr>
          </w:p>
          <w:p w14:paraId="3AAB8D5A" w14:textId="77777777" w:rsidR="00E4334F" w:rsidRPr="00B02426" w:rsidRDefault="00E4334F" w:rsidP="00E4334F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B024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Kalite ve Güvenlik: Yazılım hatasız olmalı, hasta verileri güvenli şekilde korunmalıdır.</w:t>
            </w:r>
          </w:p>
          <w:p w14:paraId="4594FFB6" w14:textId="77777777" w:rsidR="00E4334F" w:rsidRPr="00B02426" w:rsidRDefault="00E4334F" w:rsidP="00E4334F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76A4456F" w14:textId="77777777" w:rsidR="00E4334F" w:rsidRPr="00B02426" w:rsidRDefault="00E4334F" w:rsidP="00E4334F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B024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Eğitim ve Destek: Kullanıcılar yeterli eğitim almalı ve yazılım sonrası teknik destek sağlanmalıdır.</w:t>
            </w:r>
          </w:p>
          <w:p w14:paraId="2466F3A6" w14:textId="77777777" w:rsidR="00E4334F" w:rsidRPr="00B02426" w:rsidRDefault="00E4334F" w:rsidP="00E4334F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7AA9B707" w14:textId="77777777" w:rsidR="00E4334F" w:rsidRPr="00B02426" w:rsidRDefault="00E4334F" w:rsidP="00E4334F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B024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Test ve Doğrulama: Yazılımın gereksinimlere uygunluğu test edilmelidir.</w:t>
            </w:r>
          </w:p>
          <w:p w14:paraId="6FB9727F" w14:textId="77777777" w:rsidR="00E4334F" w:rsidRPr="00E4334F" w:rsidRDefault="00E4334F" w:rsidP="00E4334F">
            <w:pPr>
              <w:rPr>
                <w:rFonts w:eastAsia="Times New Roman"/>
                <w:color w:val="000000"/>
                <w:lang w:eastAsia="tr-TR"/>
              </w:rPr>
            </w:pPr>
          </w:p>
          <w:p w14:paraId="0CD2DC08" w14:textId="77777777" w:rsidR="00E4334F" w:rsidRPr="00E4334F" w:rsidRDefault="00E4334F" w:rsidP="00E4334F">
            <w:pPr>
              <w:rPr>
                <w:rFonts w:eastAsia="Times New Roman"/>
                <w:color w:val="000000"/>
                <w:lang w:eastAsia="tr-TR"/>
              </w:rPr>
            </w:pPr>
          </w:p>
          <w:p w14:paraId="1F4479C3" w14:textId="6B126B4E" w:rsidR="00E4334F" w:rsidRPr="00E4334F" w:rsidRDefault="00E4334F" w:rsidP="00E4334F">
            <w:pPr>
              <w:rPr>
                <w:rFonts w:eastAsia="Times New Roman"/>
                <w:color w:val="000000"/>
                <w:lang w:eastAsia="tr-TR"/>
              </w:rPr>
            </w:pPr>
          </w:p>
        </w:tc>
      </w:tr>
      <w:tr w:rsidR="00E26319" w:rsidRPr="00A078B2" w14:paraId="1E48AD73" w14:textId="77777777" w:rsidTr="00C70E9C">
        <w:trPr>
          <w:gridAfter w:val="1"/>
          <w:wAfter w:w="146" w:type="dxa"/>
          <w:trHeight w:val="109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84C5D1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 Çıkış Kriterleri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469D0693" w14:textId="77777777" w:rsidR="00E26319" w:rsidRDefault="00E4334F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Performans hedeflerinin karşılanması</w:t>
            </w:r>
          </w:p>
          <w:p w14:paraId="442A9914" w14:textId="77777777" w:rsidR="00E4334F" w:rsidRDefault="00E4334F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Yazılımın Tamamlanması</w:t>
            </w:r>
          </w:p>
          <w:p w14:paraId="07109444" w14:textId="77777777" w:rsidR="00E4334F" w:rsidRDefault="00A546C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Testlerin tamamlanması</w:t>
            </w:r>
          </w:p>
          <w:p w14:paraId="4DEFFD05" w14:textId="77777777" w:rsidR="00A546C2" w:rsidRDefault="00A546C2" w:rsidP="00A546C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Personel Eğitimi</w:t>
            </w:r>
          </w:p>
          <w:p w14:paraId="1C668675" w14:textId="77777777" w:rsidR="00A546C2" w:rsidRDefault="00A546C2" w:rsidP="00A546C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Teknik Servis Sağlama</w:t>
            </w:r>
          </w:p>
          <w:p w14:paraId="44A58E16" w14:textId="6818E51C" w:rsidR="00A546C2" w:rsidRPr="00A078B2" w:rsidRDefault="00A546C2" w:rsidP="00A546C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E26319" w:rsidRPr="00A078B2" w14:paraId="13AA27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32C4E1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lastRenderedPageBreak/>
              <w:t xml:space="preserve">Proje Hedefleri </w:t>
            </w:r>
          </w:p>
        </w:tc>
        <w:tc>
          <w:tcPr>
            <w:tcW w:w="3708" w:type="dxa"/>
            <w:tcBorders>
              <w:top w:val="single" w:sz="4" w:space="0" w:color="auto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B7DD1A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Ölçülebilir Başarı Kriterleri</w:t>
            </w:r>
          </w:p>
        </w:tc>
      </w:tr>
      <w:tr w:rsidR="00E26319" w:rsidRPr="00A078B2" w14:paraId="3BA352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1C6D3C0" w14:textId="5CE42A5A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1.</w:t>
            </w:r>
            <w:r w:rsidR="00A546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="00A546C2" w:rsidRPr="00A546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Cerrahi Süreçlerde Gecikmeleri Azaltmak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43B61729" w14:textId="069DE215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1.</w:t>
            </w:r>
            <w:r w:rsidR="00A546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iyileştirme Oranları</w:t>
            </w:r>
          </w:p>
        </w:tc>
      </w:tr>
      <w:tr w:rsidR="00E26319" w:rsidRPr="00A078B2" w14:paraId="5FA724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39CB6A6" w14:textId="2DF2827A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2.</w:t>
            </w:r>
            <w:r w:rsidR="00A546C2">
              <w:t xml:space="preserve"> </w:t>
            </w:r>
            <w:r w:rsidR="00A546C2" w:rsidRPr="00A546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Kemoterapi ve Radyoloji Bekleme Sürelerini Azaltmak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17BC7F" w14:textId="535745D3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2.</w:t>
            </w:r>
            <w:r w:rsidR="00A546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Zaman çizelgesi</w:t>
            </w:r>
          </w:p>
        </w:tc>
      </w:tr>
      <w:tr w:rsidR="00E26319" w:rsidRPr="00A078B2" w14:paraId="5B0C38B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3CF146" w14:textId="67829C75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3.</w:t>
            </w:r>
            <w:r w:rsidR="00A546C2">
              <w:t xml:space="preserve"> </w:t>
            </w:r>
            <w:r w:rsidR="00A546C2" w:rsidRPr="00A546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Yazılımın Her Departman İçin Uygun Hale Getirilmesi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7F00C180" w14:textId="600B5D90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3.</w:t>
            </w:r>
            <w:r w:rsidR="00A546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Test Başarı Oranı</w:t>
            </w:r>
          </w:p>
        </w:tc>
      </w:tr>
      <w:tr w:rsidR="00E26319" w:rsidRPr="00A078B2" w14:paraId="4B8012D1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E9CAC7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Temel Kilometre Taşları </w:t>
            </w:r>
          </w:p>
          <w:p w14:paraId="6A153ADD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E26319" w:rsidRPr="00A078B2" w14:paraId="2E8AC5BF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5EB04C" w14:textId="6A7C4DE7" w:rsidR="00F32AA9" w:rsidRPr="00F32AA9" w:rsidRDefault="00F32AA9" w:rsidP="00F32AA9">
            <w:pPr>
              <w:pStyle w:val="ListeParagraf"/>
              <w:numPr>
                <w:ilvl w:val="0"/>
                <w:numId w:val="2"/>
              </w:num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Projenin Resmi Başlangıcı</w:t>
            </w:r>
            <w:r w:rsidR="00B024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 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E1B51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E26319" w:rsidRPr="00A078B2" w14:paraId="1B95174A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109A1" w14:textId="3A05068D" w:rsidR="00E26319" w:rsidRPr="00F32AA9" w:rsidRDefault="00F32AA9" w:rsidP="00F32AA9">
            <w:pPr>
              <w:pStyle w:val="ListeParagraf"/>
              <w:numPr>
                <w:ilvl w:val="0"/>
                <w:numId w:val="2"/>
              </w:num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Donanım Kurulması</w:t>
            </w:r>
            <w:r w:rsidR="00B024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           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6B25C8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E26319" w:rsidRPr="00A078B2" w14:paraId="789EED72" w14:textId="77777777" w:rsidTr="00C70E9C">
        <w:trPr>
          <w:gridAfter w:val="1"/>
          <w:wAfter w:w="146" w:type="dxa"/>
          <w:trHeight w:val="390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1AB3D1C" w14:textId="54A0EF16" w:rsidR="00F32AA9" w:rsidRPr="00F32AA9" w:rsidRDefault="00F32AA9" w:rsidP="00F32AA9">
            <w:pPr>
              <w:pStyle w:val="ListeParagraf"/>
              <w:numPr>
                <w:ilvl w:val="0"/>
                <w:numId w:val="2"/>
              </w:num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Yazılım Kurulması</w:t>
            </w:r>
            <w:r w:rsidR="00B024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               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44319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F32AA9" w:rsidRPr="00A078B2" w14:paraId="5AA68C87" w14:textId="77777777" w:rsidTr="00C70E9C">
        <w:trPr>
          <w:gridAfter w:val="1"/>
          <w:wAfter w:w="146" w:type="dxa"/>
          <w:trHeight w:val="390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35ABEE80" w14:textId="6F1F9855" w:rsidR="00F32AA9" w:rsidRPr="00F32AA9" w:rsidRDefault="00F32AA9" w:rsidP="00F32AA9">
            <w:pPr>
              <w:pStyle w:val="ListeParagraf"/>
              <w:numPr>
                <w:ilvl w:val="0"/>
                <w:numId w:val="2"/>
              </w:num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Test Doğrulaması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E977D3" w14:textId="77777777" w:rsidR="00F32AA9" w:rsidRPr="00A078B2" w:rsidRDefault="00F32AA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F32AA9" w:rsidRPr="00A078B2" w14:paraId="7604F442" w14:textId="77777777" w:rsidTr="00C70E9C">
        <w:trPr>
          <w:gridAfter w:val="1"/>
          <w:wAfter w:w="146" w:type="dxa"/>
          <w:trHeight w:val="390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37BE9621" w14:textId="2554EB8D" w:rsidR="00F32AA9" w:rsidRDefault="00F32AA9" w:rsidP="00F32AA9">
            <w:pPr>
              <w:pStyle w:val="ListeParagraf"/>
              <w:numPr>
                <w:ilvl w:val="0"/>
                <w:numId w:val="2"/>
              </w:num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Kullanıcı Eğitimi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923B98" w14:textId="77777777" w:rsidR="00F32AA9" w:rsidRPr="00A078B2" w:rsidRDefault="00F32AA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F32AA9" w:rsidRPr="00A078B2" w14:paraId="69CE6073" w14:textId="77777777" w:rsidTr="00C70E9C">
        <w:trPr>
          <w:gridAfter w:val="1"/>
          <w:wAfter w:w="146" w:type="dxa"/>
          <w:trHeight w:val="390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22D4C46C" w14:textId="65ADBF3B" w:rsidR="00F32AA9" w:rsidRDefault="00F32AA9" w:rsidP="00F32AA9">
            <w:pPr>
              <w:pStyle w:val="ListeParagraf"/>
              <w:numPr>
                <w:ilvl w:val="0"/>
                <w:numId w:val="2"/>
              </w:num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Proje Teslimi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02312" w14:textId="77777777" w:rsidR="00F32AA9" w:rsidRPr="00A078B2" w:rsidRDefault="00F32AA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E26319" w:rsidRPr="00A078B2" w14:paraId="3F68D464" w14:textId="77777777" w:rsidTr="00C70E9C">
        <w:trPr>
          <w:gridAfter w:val="1"/>
          <w:wAfter w:w="146" w:type="dxa"/>
          <w:trHeight w:val="300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826AE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082DB" w14:textId="77777777" w:rsidR="00E26319" w:rsidRPr="00A078B2" w:rsidRDefault="00E26319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26319" w:rsidRPr="00A078B2" w14:paraId="74D84890" w14:textId="77777777" w:rsidTr="00C70E9C">
        <w:trPr>
          <w:gridAfter w:val="1"/>
          <w:wAfter w:w="146" w:type="dxa"/>
          <w:trHeight w:val="315"/>
        </w:trPr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8C916" w14:textId="77777777" w:rsidR="00E26319" w:rsidRPr="00A078B2" w:rsidRDefault="00E26319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3712C7" w14:textId="77777777" w:rsidR="00E26319" w:rsidRPr="00A078B2" w:rsidRDefault="00E26319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26319" w:rsidRPr="00A078B2" w14:paraId="585535E8" w14:textId="77777777" w:rsidTr="00C70E9C">
        <w:trPr>
          <w:gridAfter w:val="1"/>
          <w:wAfter w:w="146" w:type="dxa"/>
          <w:trHeight w:val="450"/>
        </w:trPr>
        <w:tc>
          <w:tcPr>
            <w:tcW w:w="5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4A849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  <w:r w:rsidRPr="00A078B2">
              <w:rPr>
                <w:rFonts w:eastAsia="Times New Roman"/>
                <w:color w:val="000000"/>
                <w:lang w:eastAsia="tr-TR"/>
              </w:rPr>
              <w:t xml:space="preserve">Tarih: </w:t>
            </w:r>
          </w:p>
        </w:tc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C89E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  <w:r w:rsidRPr="00A078B2">
              <w:rPr>
                <w:rFonts w:eastAsia="Times New Roman"/>
                <w:color w:val="000000"/>
                <w:lang w:eastAsia="tr-TR"/>
              </w:rPr>
              <w:t xml:space="preserve">Sponsor İmzası </w:t>
            </w:r>
          </w:p>
        </w:tc>
      </w:tr>
      <w:tr w:rsidR="00E26319" w:rsidRPr="00A078B2" w14:paraId="0FEC4A58" w14:textId="77777777" w:rsidTr="00C70E9C">
        <w:trPr>
          <w:trHeight w:val="300"/>
        </w:trPr>
        <w:tc>
          <w:tcPr>
            <w:tcW w:w="540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01DD52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47D09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B1D7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</w:tr>
      <w:tr w:rsidR="00E26319" w:rsidRPr="00A078B2" w14:paraId="22F9D5DF" w14:textId="77777777" w:rsidTr="00C70E9C">
        <w:trPr>
          <w:trHeight w:val="315"/>
        </w:trPr>
        <w:tc>
          <w:tcPr>
            <w:tcW w:w="5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CBF26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E02F2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E90" w14:textId="77777777" w:rsidR="00E26319" w:rsidRPr="00A078B2" w:rsidRDefault="00E26319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81B1E6C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  <w:sectPr w:rsidR="00E26319" w:rsidRPr="00E26319" w:rsidSect="00E26319">
          <w:headerReference w:type="default" r:id="rId9"/>
          <w:footerReference w:type="default" r:id="rId10"/>
          <w:type w:val="continuous"/>
          <w:pgSz w:w="11880" w:h="16800"/>
          <w:pgMar w:top="1417" w:right="1417" w:bottom="1417" w:left="1417" w:header="0" w:footer="0" w:gutter="0"/>
          <w:cols w:space="708"/>
          <w:docGrid w:linePitch="299"/>
        </w:sectPr>
      </w:pPr>
    </w:p>
    <w:p w14:paraId="57A95315" w14:textId="02DF8414" w:rsidR="0050420D" w:rsidRPr="00464F3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0420D" w:rsidRPr="00464F3D" w:rsidSect="003F5816">
      <w:footerReference w:type="default" r:id="rId11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79A02" w14:textId="77777777" w:rsidR="00E46DE7" w:rsidRDefault="00E46DE7">
      <w:r>
        <w:separator/>
      </w:r>
    </w:p>
  </w:endnote>
  <w:endnote w:type="continuationSeparator" w:id="0">
    <w:p w14:paraId="7624BA17" w14:textId="77777777" w:rsidR="00E46DE7" w:rsidRDefault="00E4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B0520" w14:textId="77777777" w:rsidR="00E46DE7" w:rsidRDefault="00E46DE7">
      <w:r>
        <w:separator/>
      </w:r>
    </w:p>
  </w:footnote>
  <w:footnote w:type="continuationSeparator" w:id="0">
    <w:p w14:paraId="1281A5E7" w14:textId="77777777" w:rsidR="00E46DE7" w:rsidRDefault="00E4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218C9A95">
          <wp:simplePos x="0" y="0"/>
          <wp:positionH relativeFrom="column">
            <wp:posOffset>-918658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68282DD1">
          <wp:simplePos x="0" y="0"/>
          <wp:positionH relativeFrom="column">
            <wp:posOffset>4940300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F6DF2"/>
    <w:multiLevelType w:val="hybridMultilevel"/>
    <w:tmpl w:val="7DC2DF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1"/>
  </w:num>
  <w:num w:numId="2" w16cid:durableId="9216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158F8"/>
    <w:rsid w:val="000A158E"/>
    <w:rsid w:val="000A19E9"/>
    <w:rsid w:val="000B56B6"/>
    <w:rsid w:val="00101EC6"/>
    <w:rsid w:val="00110D14"/>
    <w:rsid w:val="00204FEA"/>
    <w:rsid w:val="00284D1E"/>
    <w:rsid w:val="002913C0"/>
    <w:rsid w:val="0030001F"/>
    <w:rsid w:val="00351E4A"/>
    <w:rsid w:val="003C2457"/>
    <w:rsid w:val="003F5816"/>
    <w:rsid w:val="00464F3D"/>
    <w:rsid w:val="0050420D"/>
    <w:rsid w:val="005348D5"/>
    <w:rsid w:val="005C5009"/>
    <w:rsid w:val="006153F7"/>
    <w:rsid w:val="006E5F23"/>
    <w:rsid w:val="008279B6"/>
    <w:rsid w:val="0096486B"/>
    <w:rsid w:val="009F3109"/>
    <w:rsid w:val="00A070BC"/>
    <w:rsid w:val="00A52293"/>
    <w:rsid w:val="00A546C2"/>
    <w:rsid w:val="00A716CD"/>
    <w:rsid w:val="00B02426"/>
    <w:rsid w:val="00B02E7B"/>
    <w:rsid w:val="00B20E6B"/>
    <w:rsid w:val="00B26934"/>
    <w:rsid w:val="00BC173F"/>
    <w:rsid w:val="00C72D36"/>
    <w:rsid w:val="00D7006E"/>
    <w:rsid w:val="00DF09CA"/>
    <w:rsid w:val="00E26319"/>
    <w:rsid w:val="00E4334F"/>
    <w:rsid w:val="00E46DE7"/>
    <w:rsid w:val="00E8677F"/>
    <w:rsid w:val="00F32AA9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291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53760-6302-4A6A-81DA-8C6D4063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ÖZLEM SAVRAN</cp:lastModifiedBy>
  <cp:revision>6</cp:revision>
  <dcterms:created xsi:type="dcterms:W3CDTF">2024-02-22T08:02:00Z</dcterms:created>
  <dcterms:modified xsi:type="dcterms:W3CDTF">2024-11-21T08:15:00Z</dcterms:modified>
</cp:coreProperties>
</file>