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40" w:line="259" w:lineRule="auto"/>
      </w:pPr>
      <w:r>
        <w:rPr>
          <w:rFonts w:ascii="Tahoma" w:hAnsi="Tahoma" w:eastAsia="Tahoma"/>
          <w:b/>
          <w:i w:val="0"/>
          <w:color w:val="17365D"/>
          <w:sz w:val="32"/>
        </w:rPr>
        <w:t>PPWR AMBALAJ KONFİGÜRASYONU TEKNİK DOSYASI</w:t>
      </w:r>
      <w:r>
        <w:rPr>
          <w:rFonts w:ascii="Tahoma" w:hAnsi="Tahoma" w:eastAsia="Tahoma"/>
          <w:b/>
          <w:i/>
          <w:color w:val="0B6FA4"/>
          <w:sz w:val="25"/>
        </w:rPr>
        <w:br/>
        <w:t>PPWR PACKAGING CONFIGURATION TECHNICAL FILE</w:t>
      </w:r>
      <w:r>
        <w:rPr>
          <w:rFonts w:ascii="Tahoma" w:hAnsi="Tahoma" w:eastAsia="Tahoma"/>
          <w:b w:val="0"/>
          <w:i w:val="0"/>
          <w:color w:val="666666"/>
          <w:sz w:val="18"/>
        </w:rPr>
        <w:br/>
        <w:t>Regulation (EU) 2025/40 • Annex VII • Module A / Internal Production Control</w:t>
      </w:r>
    </w:p>
    <w:p>
      <w:pPr>
        <w:spacing w:before="0" w:after="160" w:line="259" w:lineRule="auto"/>
        <w:pBdr>
          <w:bottom w:val="single" w:sz="12" w:space="3" w:color="F4C300"/>
        </w:pBdr>
      </w:pPr>
      <w:r>
        <w:rPr>
          <w:rFonts w:ascii="Tahoma" w:hAnsi="Tahoma" w:eastAsia="Tahoma"/>
          <w:b w:val="0"/>
          <w:i w:val="0"/>
          <w:color w:val="666666"/>
          <w:sz w:val="18"/>
        </w:rPr>
        <w:t>IA-PPWR-TF-ST-012-EUR-01-R00  •  Rev.00  •  08.08.2026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Seti Kodu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Set Code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ST-012-EUR-01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Konfigürasyon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Configuration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IA-ST-012-EUR-01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Konfigürasyon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Configuration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Starter 12’li - Euro Palet 800×1200×152 mm - Varyant 01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Starter 12-unit - Euro Pallet 800×1200×152 mm - Variant 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7365D"/>
                <w:sz w:val="17"/>
              </w:rPr>
              <w:t>Ayırt edici özellik</w:t>
            </w:r>
            <w:r>
              <w:rPr>
                <w:rFonts w:ascii="Tahoma" w:hAnsi="Tahoma" w:eastAsia="Tahoma"/>
                <w:i/>
                <w:color w:val="666666"/>
                <w:sz w:val="17"/>
              </w:rPr>
              <w:br/>
              <w:t>Variant basis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C | Palet (4000038): 1 adet | Köşebent (4000590): 4 adet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C | Pallet (4000038): 1 pc | Edge protector (4000590): 4 pcs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Kaynak BOM / Veri Soy Ağacı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Source BOM / Data Lineage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IA-ST-CFG-0004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Toplam ambalaj darası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Total packaging tare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29.3260 kg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Üretici / Dosya sahibi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Manufacturer / Dossier owner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İnci Akü Sanayi ve Ticaret A.Ş.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Doküman revizyonu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Document revision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Rev.00 / 08.08.2026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01  AMAÇ, KAPSAM VE KULLANIM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01  PURPOSE, SCOPE AND INTENDED USE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Bu Teknik Dosya, ST-012-EUR-01 ambalaj varyantının Regulation (EU) 2025/40 kapsamında Annex VII / Module A iç üretim kontrolü esasına göre tanımlanması, bileşenlerinin ve sabit BOM’unun izlenebilirliği için hazırlanmıştır.</w:t>
      </w:r>
      <w:r>
        <w:rPr>
          <w:rFonts w:ascii="Tahoma" w:hAnsi="Tahoma"/>
          <w:i/>
          <w:color w:val="666666"/>
          <w:sz w:val="20"/>
        </w:rPr>
        <w:br/>
        <w:t>This Technical File defines packaging variant ST-012-EUR-01 under the Annex VII / Module A internal-production-control basis of Regulation (EU) 2025/40 and records the traceability of its components and fixed BOM.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seviyesi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level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Taşıma / gruplanmış ambalaj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Transport / grouped packaging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Fonksiyon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Function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Koruma, sabitleme, elleçleme ve taşıma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Protection, stabilisation, handling and transport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Elleçleme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Paletli mekanik elleçleme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Palletised mechanical handling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Taşıma modu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Transport mode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Karayolu / denizyolu / multimodal - uygulanabildiği ölçüde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Road / sea / multimodal - as applicable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Tehlikeli madde arayüzü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Dangerous-goods interface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ADR/IMDG işaretleri PPWR kimliklendirmesinden ayrı uygulanır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ADR/IMDG markings remain separate from PPWR identification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Tekrar kullanım iddiası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Reuse claim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Kontrollü iade/rotasyon sistemi belgelenmedikçe yapılmaz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No reusable claim unless a controlled return/rotation system is documented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02  ÜRÜN KAPSAMI VE VERİ SOY AĞACI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02  PRODUCT SCOPE AND DATA LINEAGE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Bu dosya yalnız ST-012-EUR-01 sabit BOM varyantını kapsar. Aynı palet/adet ailesindeki farklı BOM’lar ayrı Packaging Set Code ile yönetilir. Bu varyanta bağlı 1 ürün kodu aşağıda müşteri/pazar bilgisi olmadan izlenebilirlik amacıyla listelenmiştir.</w:t>
      </w:r>
      <w:r>
        <w:rPr>
          <w:rFonts w:ascii="Tahoma" w:hAnsi="Tahoma"/>
          <w:i/>
          <w:color w:val="666666"/>
          <w:sz w:val="20"/>
        </w:rPr>
        <w:br/>
        <w:t>This file covers only fixed BOM variant ST-012-EUR-01. Different BOMs within the same pallet/quantity family are controlled under separate Packaging Set Codes. The 1 product codes linked to this variant are listed below for traceability without customer/market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FFFFFF"/>
                <w:sz w:val="16"/>
              </w:rPr>
              <w:t>Kontrollü ürünler</w:t>
            </w:r>
            <w:r>
              <w:rPr>
                <w:rFonts w:ascii="Tahoma" w:hAnsi="Tahoma"/>
                <w:i/>
                <w:color w:val="FFFFFF"/>
                <w:sz w:val="16"/>
              </w:rPr>
              <w:br/>
              <w:t>Controlled products</w:t>
            </w:r>
          </w:p>
        </w:tc>
        <w:tc>
          <w:tcPr>
            <w:tcW w:type="dxa" w:w="82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FFFFFF"/>
                <w:sz w:val="16"/>
              </w:rPr>
              <w:t>Kontrollü ürünler</w:t>
            </w:r>
            <w:r>
              <w:rPr>
                <w:rFonts w:ascii="Tahoma" w:hAnsi="Tahoma"/>
                <w:i/>
                <w:color w:val="FFFFFF"/>
                <w:sz w:val="16"/>
              </w:rPr>
              <w:br/>
              <w:t>Controlled products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6"/>
              </w:rPr>
              <w:t>1015169 • C • 220 Ah • AGM</w:t>
            </w:r>
          </w:p>
        </w:tc>
        <w:tc>
          <w:tcPr>
            <w:tcW w:type="dxa" w:w="82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—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Packaging Set Code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Set Code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ST-012-EUR-01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Configuration ID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Configuration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IA-ST-012-EUR-01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Source BOM ID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IA-ST-CFG-0004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Ürün adedi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Product quantity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12 adet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12 pcs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DPP veri bağlantısı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DPP data linkage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Ürün kodu → Packaging Set Code → Source BOM → Bileşen/Birim Ağırlık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Product code → Packaging Set Code → Source BOM → Component/Unit Weight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ageBreakBefore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03  SABİT AMBALAJ BOM’U VE KÜTLE DENGESİ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03  FIXED PACKAGING BOM AND MASS BALANCE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Aşağıdaki BOM bu varyant için sabittir. Uygunluğu etkileyen miktar, malzeme, bileşen veya birim ağırlık değişikliği revizyon değerlendirmesini tetikler.</w:t>
      </w:r>
      <w:r>
        <w:rPr>
          <w:rFonts w:ascii="Tahoma" w:hAnsi="Tahoma"/>
          <w:i/>
          <w:color w:val="666666"/>
          <w:sz w:val="20"/>
        </w:rPr>
        <w:br/>
        <w:t>The BOM below is fixed for this variant. A conformity-relevant change to quantity, material, component or unit weight triggers revision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/>
          <w:tblHeader w:val="true"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Kod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Code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Bileşen / Malzeme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Component / Material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Miktar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Quantity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Birim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Birim ağırlık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Unit weight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Satır ağırlığı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Line weight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4000450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AMB01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Signode çember 1260 2000M 3000N 12.0×0.6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Signode plastic strap, 1260 2000M 3000N 12.0×0.6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0.0124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0.1736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4000038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AMB02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Euro palet 800×1200×152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Euro wooden pallet, 800×1200×152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26.0000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26.0000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4000300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AMB03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Streç film 23MC,50CM×1500M,makine rulosu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Stretch film, 23MC,50CM×1500M,machine roll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0.0183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0.3664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4000301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AMB03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Streç ped 80MC,140CM×170CM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Stretch pad/sheet, 80MC,140CM×170CM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0.186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kg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kg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4"/>
              </w:rPr>
              <w:t>Kütle esaslı</w:t>
            </w:r>
            <w:r>
              <w:rPr>
                <w:rFonts w:ascii="Tahoma" w:hAnsi="Tahoma"/>
                <w:i/>
                <w:color w:val="666666"/>
                <w:sz w:val="14"/>
              </w:rPr>
              <w:br/>
              <w:t>Mass-based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0.1860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4000590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AMB04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Karton köşebent 4cm×4cm×4×75cm,SEV.PLT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Cardboard edge protector, 4cm×4cm×4×75cm,SEV.PLT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0.1000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0.4000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4000609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AMB04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Karton separatör 80×117.5,EURO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Corrugated cardboard separator 80×117.5,EURO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0.2000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0.2000 kg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4001186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AMB04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Honeycomb levha 1200×800×40 TABAKA,EURO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Honeycomb board sheet, 1200×800×40 TABAKA,EURO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adet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pcs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1.0000 kg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2.0000 kg</w:t>
            </w:r>
          </w:p>
        </w:tc>
      </w:tr>
      <w:tr>
        <w:trPr>
          <w:cantSplit/>
        </w:trPr>
        <w:tc>
          <w:tcPr>
            <w:tcW w:type="dxa" w:w="839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gridSpan w:val="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TOPLAM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29.3260 kg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Malzeme ailesi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Material family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Bu varyanttaki örnek bileşenler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Example components in this variant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Kontrol yaklaşımı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Control approach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Ahşap / ahşap esaslı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Wood / wood-based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Palet, OSB, takoz, sabitleme elemanı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Pallet, OSB, securing block / timber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Kod, miktar ve kaynak kayıt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Controlled by code, quantity and source record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Kâğıt / karton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Paper / cardboard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Koli, separatör, köşebent, etiket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Carton, separator, edge protector, label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BOM ve teknik kanıt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BOM and technical-evidence basis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Plastikler / polimerler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Plastics / polymers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Streç/shrink film, PVC, EPS, hava yastığı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Stretch/shrink film, PVC, EPS, dunnage bag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BOM ve mevcut teknik kanıt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BOM and current technical-evidence basis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Çember / bağlama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Strap / securing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Çember, halat, toka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Strap, rope, buckle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Kod, miktar ve teknik kaynak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Code, quantity and technical-source basis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04  PPWR UYGUNLUK DEĞERLENDİRME ÖZETİ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04  PPWR CONFORMITY ASSESSMENT SUMMARY</w:t>
      </w:r>
    </w:p>
    <w:p>
      <w:pPr>
        <w:spacing w:before="0" w:after="100" w:line="259" w:lineRule="auto"/>
      </w:pPr>
      <w:r>
        <w:rPr>
          <w:rFonts w:ascii="Tahoma" w:hAnsi="Tahoma" w:eastAsia="Tahoma"/>
          <w:b w:val="0"/>
          <w:i w:val="0"/>
          <w:color w:val="1F2937"/>
          <w:sz w:val="20"/>
        </w:rPr>
        <w:t>Değerlendirme, Rev.00 mevcut teknik ve tedarikçi kanıtı esasına göre yürütülür. Desteklenmeyen bileşen-seviyesi sayısal ağır metal / SoC iddiası oluşturulmaz.</w:t>
      </w:r>
      <w:r>
        <w:rPr>
          <w:rFonts w:ascii="Tahoma" w:hAnsi="Tahoma" w:eastAsia="Tahoma"/>
          <w:b w:val="0"/>
          <w:i/>
          <w:color w:val="666666"/>
          <w:sz w:val="20"/>
        </w:rPr>
        <w:br/>
        <w:t>Assessment is performed on the Rev.00 current technical and supplier-evidence basis. No unsupported component-level numerical heavy-metal / SoC claim is made.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Referans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Konu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Subject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Durum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Status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Değerlendirme / kontrol esası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Assessment / control basis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5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5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Ambalajdaki maddeler / ağır metaller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Substances in packaging / heavy metals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REV00 ARTICLE 5 ASSESSMENT BASIS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Current technical and supplier-evidence basis; new evidence is handled through revision control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6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6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Geri dönüştürülebilirlik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Recyclability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REV.00 TECHNICAL BASIS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Qualitative assessment based on material families and separable component structure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7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7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Geri dönüştürülmüş içerik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Recycled content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AS APPLICABLE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Managed for plastic packaging components according to legal application dates and evidence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9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9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Kompostlanabilirlik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Compostability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NOT APPLICABLE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Bu taşıma ambalajı konfigürasyonu için kompostlanabilir ambalaj iddiası yoktur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No compostable-packaging claim is made for this transport-packaging configuration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10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10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Ambalaj minimizasyonu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minimisation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REV.00 TECHNICAL BASIS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Fixed BOM required for protection, stability and transport function is used as the basis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11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11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Tekrar kullanılabilirlik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Reusability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NO REUSE CLAIM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No reuse claim unless a controlled return/rotation system is documented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12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12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Etiketleme / izlenebilirlik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Labelling / traceability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CONTROLLED IDENTIFICATION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Packaging Set Code, üretici kimliği ve doküman bağlantısı ayrı Label ile yönetilir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Set Code, manufacturer identity and document linkage are controlled through the separate Label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05  ÜRETİM / AMBALAJLAMA KONTROLÜ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05  MANUFACTURING / PACKAGING CONTROL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İnci Akü, kendi sorumluluk kapsamındaki ambalajlama faaliyetinde ST-012-EUR-01 onaylı sabit BOM’unun uygulanmasını, bileşen kimliğinin ve miktarlarının doğrulanmasını ve izlenebilirlik kayıtlarının korunmasını yönetir.</w:t>
      </w:r>
      <w:r>
        <w:rPr>
          <w:rFonts w:ascii="Tahoma" w:hAnsi="Tahoma"/>
          <w:i/>
          <w:color w:val="666666"/>
          <w:sz w:val="20"/>
        </w:rPr>
        <w:br/>
        <w:t>Within its responsibility scope, İnci Akü controls application of the approved fixed BOM ST-012-EUR-01, verification of component identity and quantities, and retention of traceability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Kontrol noktası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Control point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Kabul kriteri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Acceptance criterion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Kayıt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Sorumluluk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Responsibility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Girdi kabulü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Incoming acceptance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Kod / tanım / miktar / hasar kontrolü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Code / description / quantity / damage check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Satın alma / kalite kayıtları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Purchasing / quality records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Ambalaj hazırlama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assembly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ST-012-EUR-01 sabit BOM’a uygunluk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Conformity with fixed BOM ST-012-EUR-01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Operasyon / paketleme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Operation / packing 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Kütle ve miktar kontrolü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Mass and quantity control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Nominal BOM darası 29.3260 kg ve reçete miktarları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Nominal BOM tare 29.3260 kg and recipe quantities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PIMS / BOM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PIMS / BOM 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Etiket ve izlenebilirlik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Label and traceability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Packaging Set Code ve belge bağlantıları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Set Code and document linkages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Label / shipment record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Label / shipment 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Nihai serbest bırakma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Final release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Konfigürasyon, hasar, stabilite ve kayıt tamlığı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Configuration, damage, stability and record completeness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Kalite / lojistik kontrolü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Quality / logistics control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06  ETİKETLEME, İZLENEBİLİRLİK VE BAĞLANTILI ÇIKTILAR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06  LABELLING, TRACEABILITY AND LINKED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Packaging Identification Label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Identification Label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IA-PPWR-LBL-ST-012-EUR-01-R00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EU Declaration of Conformity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EU Declaration of Conformity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IA-PPWR-DOC-ST-012-EUR-01-R00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Shipment Packaging Information Statement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Shipment Packaging Information Statement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IA-PPWR-STM-ST-012-EUR-01-R00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İzlenebilirlik anahtarı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Traceability key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ST-012-EUR-01 → IA-ST-012-EUR-01 → IA-ST-CFG-0004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Packaging Set Code → Configuration ID → Source BOM ID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Üretici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Manufacturer identity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  <w:t>İnci Akü Sanayi ve Ticaret A.Ş.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Address/electronic contact shown on the controlled identification label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100" w:line="259" w:lineRule="auto"/>
      </w:pPr>
      <w:r>
        <w:rPr>
          <w:rFonts w:ascii="Tahoma" w:hAnsi="Tahoma" w:eastAsia="Tahoma"/>
          <w:b w:val="0"/>
          <w:i w:val="0"/>
          <w:color w:val="1F2937"/>
          <w:sz w:val="20"/>
        </w:rPr>
        <w:t>Etiket, PPWR kimliklendirme amacıyla kontrol edilen ambalaj konfigürasyonunu tanımlar. ADR/IMDG ve ürün güvenliği işaretleri bu etiketten bağımsız olarak uygulanır.</w:t>
      </w:r>
      <w:r>
        <w:rPr>
          <w:rFonts w:ascii="Tahoma" w:hAnsi="Tahoma" w:eastAsia="Tahoma"/>
          <w:b w:val="0"/>
          <w:i/>
          <w:color w:val="666666"/>
          <w:sz w:val="20"/>
        </w:rPr>
        <w:br/>
        <w:t>The label identifies the controlled packaging configuration for PPWR traceability. ADR/IMDG and product-safety markings are applied independently of this label.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07  EKLER, DEĞİŞİKLİK KONTROLÜ VE SONUÇ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07  ANNEXES, CHANGE CONTROL AND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Ek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Annex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İçerik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Durum / Referans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Status / Reference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A-01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Konfigürasyon çizimi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Configuration drawing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PENDING - DRAWING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A-02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Kontrollü fotoğraf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Controlled photographic record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PENDING - PHOTOGRAPHS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A-03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Varyant BOM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Variant BOM record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CONTROLLED - REV.00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A-04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Madde 5 değerlendirme esası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5 assessment basis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REV00 ARTICLE 5 ASSESSMENT BASIS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A-05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AB Uygunluk Beyanı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EU Declaration of Conformity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IA-PPWR-DOC-ST-012-EUR-01-R00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A-06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Ambalaj Kimlik Etiketi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Identification Label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IA-PPWR-LBL-ST-012-EUR-01-R00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A-07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Sevkiyat Ambalaj Bilgi Beyanı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Shipment Packaging Information Statement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IA-PPWR-STM-ST-012-EUR-01-R00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100" w:line="259" w:lineRule="auto"/>
      </w:pPr>
      <w:r>
        <w:rPr>
          <w:rFonts w:ascii="Tahoma" w:hAnsi="Tahoma" w:eastAsia="Tahoma"/>
          <w:b w:val="0"/>
          <w:i w:val="0"/>
          <w:color w:val="1F2937"/>
          <w:sz w:val="20"/>
        </w:rPr>
        <w:t>Bu dosyadaki sabit BOM, ürün kapsamı, ağırlık veya ambalaj fonksiyonunu etkileyen değişikliklerde yeniden değerlendirilir ve gerektiğinde yeni revizyon yayımlanır. Rev.00 kapsamında çizimler ve fotoğraflar kontrollü ek olarak sonradan eklenecektir.</w:t>
      </w:r>
      <w:r>
        <w:rPr>
          <w:rFonts w:ascii="Tahoma" w:hAnsi="Tahoma" w:eastAsia="Tahoma"/>
          <w:b w:val="0"/>
          <w:i/>
          <w:color w:val="666666"/>
          <w:sz w:val="20"/>
        </w:rPr>
        <w:br/>
        <w:t>A change affecting the fixed BOM, product scope, weight or packaging function triggers reassessment and, where necessary, a new revision. Under Rev.00, drawings and photographs will be added later as controlled annexes.</w:t>
      </w:r>
    </w:p>
    <w:p>
      <w:pPr>
        <w:spacing w:before="0" w:after="120" w:line="259" w:lineRule="auto"/>
      </w:pPr>
      <w:r>
        <w:rPr>
          <w:rFonts w:ascii="Tahoma" w:hAnsi="Tahoma"/>
          <w:b/>
          <w:color w:val="1F2937"/>
          <w:sz w:val="20"/>
        </w:rPr>
        <w:t>SONUÇ: ST-012-EUR-01 varyantı, Rev.00 teknik temeli ve bu Teknik Dosyada tanımlanan uygulanabilir PPWR değerlendirmeleri kapsamında kontrollüdür.</w:t>
      </w:r>
      <w:r>
        <w:rPr>
          <w:rFonts w:ascii="Tahoma" w:hAnsi="Tahoma"/>
          <w:i/>
          <w:color w:val="666666"/>
          <w:sz w:val="20"/>
        </w:rPr>
        <w:br/>
        <w:t>CONCLUSION: Variant ST-012-EUR-01 is controlled under the Rev.00 technical basis and applicable PPWR assessments defined in this Technical File.</w:t>
      </w:r>
    </w:p>
    <w:sectPr>
      <w:headerReference w:type="default" r:id="rId2"/>
      <w:footerReference w:type="default" r:id="rId3"/>
      <w:type w:val="nextPage"/>
      <w:pgSz w:w="11906" w:h="16838"/>
      <w:pgMar w:left="822" w:right="822" w:gutter="0" w:header="850" w:top="1729" w:footer="283" w:bottom="15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left="-426" w:right="-568"/>
      <w:rPr/>
    </w:pPr>
    <w:r>
      <w:rPr>
        <w:rFonts w:cs="Helvetica" w:ascii="Tahoma" w:hAnsi="Tahoma" w:eastAsia="Tahoma"/>
        <w:b/>
        <w:color w:val="595959"/>
        <w:sz w:val="14"/>
        <w:szCs w:val="14"/>
        <w:lang w:val="en-US" w:eastAsia="en-US"/>
      </w:rPr>
      <w:drawing>
        <wp:inline distT="0" distB="0" distL="0" distR="0">
          <wp:extent cx="665480" cy="442595"/>
          <wp:effectExtent l="0" t="0" r="0" b="0"/>
          <wp:docPr id="2" name="Resi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Tahoma" w:hAnsi="Tahoma" w:eastAsia="Tahoma"/>
        <w:b/>
        <w:bCs/>
        <w:color w:val="595959"/>
        <w:sz w:val="14"/>
        <w:szCs w:val="14"/>
      </w:rPr>
      <w:tab/>
      <w:tab/>
      <w:tab/>
      <w:tab/>
      <w:tab/>
      <w:t xml:space="preserve"> </w:t>
      <w:tab/>
      <w:tab/>
      <w:t xml:space="preserve"> </w:t>
      <w:tab/>
      <w:t xml:space="preserve">                                 </w:t>
    </w:r>
    <w:r>
      <w:rPr>
        <w:rFonts w:cs="Helvetica" w:ascii="Tahoma" w:hAnsi="Tahoma" w:eastAsia="Tahoma"/>
        <w:b/>
        <w:color w:val="595959"/>
        <w:sz w:val="14"/>
        <w:szCs w:val="14"/>
        <w:lang w:val="en-US" w:eastAsia="en-US"/>
      </w:rPr>
      <w:drawing>
        <wp:inline distT="0" distB="0" distL="0" distR="0">
          <wp:extent cx="2232025" cy="664845"/>
          <wp:effectExtent l="0" t="0" r="0" b="0"/>
          <wp:docPr id="3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Tahoma" w:hAnsi="Tahoma" w:eastAsia="Tahoma"/>
        <w:b/>
        <w:bCs/>
        <w:color w:val="595959"/>
        <w:sz w:val="14"/>
        <w:szCs w:val="14"/>
      </w:rPr>
      <w:tab/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10206" w:leader="none"/>
      </w:tabs>
      <w:jc w:val="right"/>
      <w:rPr>
        <w:lang w:val="en-US" w:eastAsia="en-US"/>
      </w:rPr>
    </w:pPr>
    <w:r>
      <w:rPr>
        <w:rFonts w:ascii="Tahoma" w:hAnsi="Tahoma" w:eastAsia="Tahoma"/>
        <w:lang w:val="en-US" w:eastAsia="en-US"/>
      </w:rPr>
      <w:drawing>
        <wp:inline distT="0" distB="0" distL="0" distR="0">
          <wp:extent cx="1636395" cy="55499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80"/>
    </w:pPr>
    <w:rPr>
      <w:rFonts w:ascii="Tahoma" w:hAnsi="Tahoma" w:eastAsia="Tahoma" w:cs="Times New Roman"/>
      <w:color w:val="auto"/>
      <w:sz w:val="20"/>
      <w:szCs w:val="22"/>
      <w:lang w:val="tr-TR" w:bidi="ar-SA" w:eastAsia="zh-CN"/>
    </w:rPr>
  </w:style>
  <w:style w:type="character" w:styleId="WW8Num1z0">
    <w:name w:val="WW8Num1z0"/>
    <w:qFormat/>
    <w:rPr>
      <w:rFonts w:ascii="Tahoma" w:hAnsi="Tahoma" w:cs="Symbol" w:eastAsia="Tahoma"/>
    </w:rPr>
  </w:style>
  <w:style w:type="character" w:styleId="WW8Num1z1">
    <w:name w:val="WW8Num1z1"/>
    <w:qFormat/>
    <w:rPr>
      <w:rFonts w:ascii="Tahoma" w:hAnsi="Tahoma" w:cs="Courier New" w:eastAsia="Tahoma"/>
    </w:rPr>
  </w:style>
  <w:style w:type="character" w:styleId="WW8Num1z2">
    <w:name w:val="WW8Num1z2"/>
    <w:qFormat/>
    <w:rPr>
      <w:rFonts w:ascii="Tahoma" w:hAnsi="Tahoma" w:cs="Wingdings" w:eastAsia="Tahoma"/>
    </w:rPr>
  </w:style>
  <w:style w:type="character" w:styleId="VarsaylanParagrafYazTipi">
    <w:name w:val="Varsayılan Paragraf Yazı Tipi"/>
    <w:qFormat/>
    <w:rPr>
      <w:rFonts w:ascii="Tahoma" w:hAnsi="Tahoma" w:eastAsia="Tahoma"/>
    </w:rPr>
  </w:style>
  <w:style w:type="character" w:styleId="stbilgiChar">
    <w:name w:val="Üstbilgi Char"/>
    <w:qFormat/>
    <w:rPr>
      <w:rFonts w:cs="Times New Roman" w:ascii="Tahoma" w:hAnsi="Tahoma" w:eastAsia="Tahoma"/>
    </w:rPr>
  </w:style>
  <w:style w:type="character" w:styleId="AltbilgiChar">
    <w:name w:val="Altbilgi Char"/>
    <w:qFormat/>
    <w:rPr>
      <w:rFonts w:cs="Times New Roman" w:ascii="Tahoma" w:hAnsi="Tahoma" w:eastAsia="Tahoma"/>
    </w:rPr>
  </w:style>
  <w:style w:type="character" w:styleId="BalonMetniChar">
    <w:name w:val="Balon Metni Char"/>
    <w:qFormat/>
    <w:rPr>
      <w:rFonts w:ascii="Tahoma" w:hAnsi="Tahoma" w:cs="Tahoma" w:eastAsia="Tahoma"/>
      <w:sz w:val="16"/>
    </w:rPr>
  </w:style>
  <w:style w:type="character" w:styleId="Hyperlink">
    <w:name w:val="Hyperlink"/>
    <w:rPr>
      <w:rFonts w:ascii="Tahoma" w:hAnsi="Tahoma" w:eastAsia="Tahoma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ahoma" w:hAnsi="Tahoma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ahoma" w:hAnsi="Tahoma" w:eastAsia="Tahoma"/>
    </w:rPr>
  </w:style>
  <w:style w:type="paragraph" w:styleId="List">
    <w:name w:val="List"/>
    <w:basedOn w:val="BodyText"/>
    <w:pPr/>
    <w:rPr>
      <w:rFonts w:cs="Lohit Devanagari" w:ascii="Tahoma" w:hAnsi="Tahoma" w:eastAsia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 w:ascii="Tahoma" w:hAnsi="Tahoma" w:eastAsia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 w:ascii="Tahoma" w:hAnsi="Tahoma" w:eastAsia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>
      <w:rFonts w:ascii="Tahoma" w:hAnsi="Tahoma" w:eastAsia="Tahoma"/>
    </w:rPr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BalonMetni">
    <w:name w:val="Balon Metni"/>
    <w:basedOn w:val="Normal"/>
    <w:qFormat/>
    <w:pPr>
      <w:spacing w:lineRule="auto" w:line="240" w:before="0" w:after="0"/>
    </w:pPr>
    <w:rPr>
      <w:rFonts w:ascii="Tahoma" w:hAnsi="Tahoma" w:cs="Tahoma" w:eastAsia="Tahoma"/>
      <w:sz w:val="16"/>
      <w:szCs w:val="20"/>
      <w:lang w:val="en-U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Files\SAP\FrontEnd\sapgui\wwi\wwidispl.dot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2026-06-12T11:25:00Z</dcterms:created>
  <dc:creator>İnci Akü Sanayi ve Ticaret A.Ş.</dc:creator>
  <dc:description/>
  <cp:keywords/>
  <dc:language>en-US</dc:language>
  <cp:lastModifiedBy>İnci Akü Sanayi ve Ticaret A.Ş.</cp:lastModifiedBy>
  <cp:lastPrinted>2015-10-08T11:53:00Z</cp:lastPrinted>
  <dcterms:modified xsi:type="dcterms:W3CDTF">2026-06-16T17:29:00Z</dcterms:modified>
  <cp:revision>7</cp:revision>
  <dc:subject/>
  <dc:title/>
</cp:coreProperties>
</file>