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before="0" w:after="40" w:line="259" w:lineRule="auto"/>
      </w:pPr>
      <w:r>
        <w:rPr>
          <w:rFonts w:ascii="Tahoma" w:hAnsi="Tahoma" w:eastAsia="Tahoma"/>
          <w:b/>
          <w:i w:val="0"/>
          <w:color w:val="17365D"/>
          <w:sz w:val="32"/>
        </w:rPr>
        <w:t>PPWR AB UYGUNLUK BEYANI</w:t>
      </w:r>
      <w:r>
        <w:rPr>
          <w:rFonts w:ascii="Tahoma" w:hAnsi="Tahoma" w:eastAsia="Tahoma"/>
          <w:b/>
          <w:i/>
          <w:color w:val="0B6FA4"/>
          <w:sz w:val="25"/>
        </w:rPr>
        <w:br/>
        <w:t>PPWR EU DECLARATION OF CONFORMITY</w:t>
      </w:r>
      <w:r>
        <w:rPr>
          <w:rFonts w:ascii="Tahoma" w:hAnsi="Tahoma" w:eastAsia="Tahoma"/>
          <w:b w:val="0"/>
          <w:i w:val="0"/>
          <w:color w:val="666666"/>
          <w:sz w:val="18"/>
        </w:rPr>
        <w:br/>
        <w:t>Regulation (EU) 2025/40 • Annex VIII</w:t>
      </w:r>
    </w:p>
    <w:p>
      <w:pPr>
        <w:spacing w:before="0" w:after="160" w:line="259" w:lineRule="auto"/>
        <w:pBdr>
          <w:bottom w:val="single" w:sz="12" w:space="3" w:color="F4C300"/>
        </w:pBdr>
      </w:pPr>
      <w:r>
        <w:rPr>
          <w:rFonts w:ascii="Tahoma" w:hAnsi="Tahoma" w:eastAsia="Tahoma"/>
          <w:b w:val="0"/>
          <w:i w:val="0"/>
          <w:color w:val="666666"/>
          <w:sz w:val="18"/>
        </w:rPr>
        <w:t>IA-PPWR-DOC-ST-012-EUR-01-R00  •  Rev.00  •  08.08.2026</w:t>
      </w:r>
    </w:p>
    <w:tbl>
      <w:tblPr>
        <w:tblW w:type="auto" w:w="0"/>
        <w:jc w:val="center"/>
        <w:tblLayout w:type="fixed"/>
        <w:tblLook w:firstColumn="1" w:firstRow="1" w:lastColumn="0" w:lastRow="0" w:noHBand="0" w:noVBand="1" w:val="04A0"/>
      </w:tblPr>
      <w:tblGrid>
        <w:gridCol w:w="5131"/>
        <w:gridCol w:w="5131"/>
      </w:tblGrid>
      <w:tr>
        <w:trPr>
          <w:cantSplit/>
        </w:trPr>
        <w:tc>
          <w:tcPr>
            <w:tcW w:type="dxa" w:w="3061"/>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shd w:fill="EAF2F8"/>
          </w:tcPr>
          <w:p>
            <w:pPr>
              <w:spacing w:before="0" w:after="0" w:line="240" w:lineRule="auto"/>
            </w:pPr>
            <w:r>
              <w:rPr>
                <w:rFonts w:ascii="Tahoma" w:hAnsi="Tahoma" w:eastAsia="Tahoma"/>
                <w:b w:val="0"/>
                <w:i w:val="0"/>
                <w:color w:val="1F2937"/>
                <w:sz w:val="17"/>
              </w:rPr>
            </w:r>
            <w:r>
              <w:rPr>
                <w:rFonts w:ascii="Tahoma" w:hAnsi="Tahoma" w:eastAsia="Tahoma"/>
                <w:b/>
                <w:i w:val="0"/>
                <w:color w:val="17365D"/>
                <w:sz w:val="17"/>
              </w:rPr>
              <w:t>Beyan Numarası</w:t>
            </w:r>
            <w:r>
              <w:rPr>
                <w:rFonts w:ascii="Tahoma" w:hAnsi="Tahoma" w:eastAsia="Tahoma"/>
                <w:b w:val="0"/>
                <w:i/>
                <w:color w:val="666666"/>
                <w:sz w:val="17"/>
              </w:rPr>
              <w:br/>
              <w:t>Declaration No.</w:t>
            </w:r>
          </w:p>
        </w:tc>
        <w:tc>
          <w:tcPr>
            <w:tcW w:type="dxa" w:w="6804"/>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b w:val="0"/>
                <w:color w:val="1F2937"/>
                <w:sz w:val="17"/>
              </w:rPr>
              <w:t>IA-PPWR-DOC-ST-012-EUR-01-R00</w:t>
            </w:r>
          </w:p>
        </w:tc>
      </w:tr>
      <w:tr>
        <w:trPr>
          <w:cantSplit/>
        </w:trPr>
        <w:tc>
          <w:tcPr>
            <w:tcW w:type="dxa" w:w="3061"/>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shd w:fill="EAF2F8"/>
          </w:tcPr>
          <w:p>
            <w:pPr>
              <w:spacing w:before="0" w:after="0" w:line="240" w:lineRule="auto"/>
            </w:pPr>
            <w:r>
              <w:rPr>
                <w:rFonts w:ascii="Tahoma" w:hAnsi="Tahoma" w:eastAsia="Tahoma"/>
                <w:b w:val="0"/>
                <w:i w:val="0"/>
                <w:color w:val="1F2937"/>
                <w:sz w:val="17"/>
              </w:rPr>
            </w:r>
            <w:r>
              <w:rPr>
                <w:rFonts w:ascii="Tahoma" w:hAnsi="Tahoma" w:eastAsia="Tahoma"/>
                <w:b/>
                <w:i w:val="0"/>
                <w:color w:val="17365D"/>
                <w:sz w:val="17"/>
              </w:rPr>
              <w:t>Ambalajın benzersiz tanımlaması</w:t>
            </w:r>
            <w:r>
              <w:rPr>
                <w:rFonts w:ascii="Tahoma" w:hAnsi="Tahoma" w:eastAsia="Tahoma"/>
                <w:b w:val="0"/>
                <w:i/>
                <w:color w:val="666666"/>
                <w:sz w:val="17"/>
              </w:rPr>
              <w:br/>
              <w:t>Unique identification of packaging</w:t>
            </w:r>
          </w:p>
        </w:tc>
        <w:tc>
          <w:tcPr>
            <w:tcW w:type="dxa" w:w="6804"/>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b w:val="0"/>
                <w:color w:val="1F2937"/>
                <w:sz w:val="17"/>
              </w:rPr>
              <w:t>ST-012-EUR-01</w:t>
            </w:r>
            <w:r>
              <w:rPr>
                <w:rFonts w:ascii="Tahoma" w:hAnsi="Tahoma"/>
                <w:i/>
                <w:color w:val="666666"/>
                <w:sz w:val="17"/>
              </w:rPr>
              <w:br/>
              <w:t>Configuration ID: IA-ST-012-EUR-01</w:t>
            </w:r>
          </w:p>
        </w:tc>
      </w:tr>
      <w:tr>
        <w:trPr>
          <w:cantSplit/>
        </w:trPr>
        <w:tc>
          <w:tcPr>
            <w:tcW w:type="dxa" w:w="3061"/>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shd w:fill="EAF2F8"/>
          </w:tcPr>
          <w:p>
            <w:pPr>
              <w:spacing w:before="0" w:after="0" w:line="240" w:lineRule="auto"/>
            </w:pPr>
            <w:r>
              <w:rPr>
                <w:rFonts w:ascii="Tahoma" w:hAnsi="Tahoma" w:eastAsia="Tahoma"/>
                <w:b w:val="0"/>
                <w:i w:val="0"/>
                <w:color w:val="1F2937"/>
                <w:sz w:val="17"/>
              </w:rPr>
            </w:r>
            <w:r>
              <w:rPr>
                <w:rFonts w:ascii="Tahoma" w:hAnsi="Tahoma" w:eastAsia="Tahoma"/>
                <w:b/>
                <w:i w:val="0"/>
                <w:color w:val="17365D"/>
                <w:sz w:val="17"/>
              </w:rPr>
              <w:t>Ambalaj açıklaması</w:t>
            </w:r>
            <w:r>
              <w:rPr>
                <w:rFonts w:ascii="Tahoma" w:hAnsi="Tahoma" w:eastAsia="Tahoma"/>
                <w:b w:val="0"/>
                <w:i/>
                <w:color w:val="666666"/>
                <w:sz w:val="17"/>
              </w:rPr>
              <w:br/>
              <w:t>Description of packaging</w:t>
            </w:r>
          </w:p>
        </w:tc>
        <w:tc>
          <w:tcPr>
            <w:tcW w:type="dxa" w:w="6804"/>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b w:val="0"/>
                <w:color w:val="1F2937"/>
                <w:sz w:val="17"/>
              </w:rPr>
              <w:t>Starter 12’li - Euro Palet 800×1200×152 mm - Varyant 01</w:t>
            </w:r>
            <w:r>
              <w:rPr>
                <w:rFonts w:ascii="Tahoma" w:hAnsi="Tahoma"/>
                <w:i/>
                <w:color w:val="666666"/>
                <w:sz w:val="17"/>
              </w:rPr>
              <w:br/>
              <w:t>Starter 12-unit - Euro Pallet 800×1200×152 mm - Variant 01</w:t>
            </w:r>
          </w:p>
        </w:tc>
      </w:tr>
      <w:tr>
        <w:trPr>
          <w:cantSplit/>
        </w:trPr>
        <w:tc>
          <w:tcPr>
            <w:tcW w:type="dxa" w:w="3061"/>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shd w:fill="EAF2F8"/>
          </w:tcPr>
          <w:p>
            <w:pPr>
              <w:spacing w:before="0" w:after="0" w:line="240" w:lineRule="auto"/>
            </w:pPr>
            <w:r>
              <w:rPr>
                <w:rFonts w:ascii="Tahoma" w:hAnsi="Tahoma"/>
                <w:sz w:val="17"/>
              </w:rPr>
            </w:r>
            <w:r>
              <w:rPr>
                <w:rFonts w:ascii="Tahoma" w:hAnsi="Tahoma"/>
                <w:b/>
                <w:color w:val="17365D"/>
                <w:sz w:val="17"/>
              </w:rPr>
              <w:t>Ayırt edici özellik</w:t>
            </w:r>
            <w:r>
              <w:rPr>
                <w:rFonts w:ascii="Tahoma" w:hAnsi="Tahoma"/>
                <w:i/>
                <w:color w:val="666666"/>
                <w:sz w:val="17"/>
              </w:rPr>
              <w:br/>
              <w:t>Variant basis</w:t>
            </w:r>
          </w:p>
        </w:tc>
        <w:tc>
          <w:tcPr>
            <w:tcW w:type="dxa" w:w="6804"/>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b w:val="0"/>
                <w:color w:val="1F2937"/>
                <w:sz w:val="17"/>
              </w:rPr>
              <w:t>C | Palet (4000038): 1 adet | Köşebent (4000590): 4 adet</w:t>
            </w:r>
            <w:r>
              <w:rPr>
                <w:rFonts w:ascii="Tahoma" w:hAnsi="Tahoma"/>
                <w:i/>
                <w:color w:val="666666"/>
                <w:sz w:val="17"/>
              </w:rPr>
              <w:br/>
              <w:t>C | Pallet (4000038): 1 pc | Edge protector (4000590): 4 pcs</w:t>
            </w:r>
          </w:p>
        </w:tc>
      </w:tr>
      <w:tr>
        <w:trPr>
          <w:cantSplit/>
        </w:trPr>
        <w:tc>
          <w:tcPr>
            <w:tcW w:type="dxa" w:w="3061"/>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shd w:fill="EAF2F8"/>
          </w:tcPr>
          <w:p>
            <w:pPr>
              <w:spacing w:before="0" w:after="0" w:line="240" w:lineRule="auto"/>
            </w:pPr>
            <w:r>
              <w:rPr>
                <w:rFonts w:ascii="Tahoma" w:hAnsi="Tahoma" w:eastAsia="Tahoma"/>
                <w:b w:val="0"/>
                <w:i w:val="0"/>
                <w:color w:val="1F2937"/>
                <w:sz w:val="17"/>
              </w:rPr>
            </w:r>
            <w:r>
              <w:rPr>
                <w:rFonts w:ascii="Tahoma" w:hAnsi="Tahoma" w:eastAsia="Tahoma"/>
                <w:b/>
                <w:i w:val="0"/>
                <w:color w:val="17365D"/>
                <w:sz w:val="17"/>
              </w:rPr>
              <w:t>Üretici</w:t>
            </w:r>
            <w:r>
              <w:rPr>
                <w:rFonts w:ascii="Tahoma" w:hAnsi="Tahoma" w:eastAsia="Tahoma"/>
                <w:b w:val="0"/>
                <w:i/>
                <w:color w:val="666666"/>
                <w:sz w:val="17"/>
              </w:rPr>
              <w:br/>
              <w:t>Manufacturer</w:t>
            </w:r>
          </w:p>
        </w:tc>
        <w:tc>
          <w:tcPr>
            <w:tcW w:type="dxa" w:w="6804"/>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b w:val="0"/>
                <w:color w:val="1F2937"/>
                <w:sz w:val="17"/>
              </w:rPr>
              <w:t>İnci Akü Sanayi ve Ticaret A.Ş.</w:t>
            </w:r>
          </w:p>
        </w:tc>
      </w:tr>
      <w:tr>
        <w:trPr>
          <w:cantSplit/>
        </w:trPr>
        <w:tc>
          <w:tcPr>
            <w:tcW w:type="dxa" w:w="3061"/>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shd w:fill="EAF2F8"/>
          </w:tcPr>
          <w:p>
            <w:pPr>
              <w:spacing w:before="0" w:after="0" w:line="240" w:lineRule="auto"/>
            </w:pPr>
            <w:r>
              <w:rPr>
                <w:rFonts w:ascii="Tahoma" w:hAnsi="Tahoma" w:eastAsia="Tahoma"/>
                <w:b w:val="0"/>
                <w:i w:val="0"/>
                <w:color w:val="1F2937"/>
                <w:sz w:val="17"/>
              </w:rPr>
            </w:r>
            <w:r>
              <w:rPr>
                <w:rFonts w:ascii="Tahoma" w:hAnsi="Tahoma" w:eastAsia="Tahoma"/>
                <w:b/>
                <w:i w:val="0"/>
                <w:color w:val="17365D"/>
                <w:sz w:val="17"/>
              </w:rPr>
              <w:t>Adres</w:t>
            </w:r>
            <w:r>
              <w:rPr>
                <w:rFonts w:ascii="Tahoma" w:hAnsi="Tahoma" w:eastAsia="Tahoma"/>
                <w:b w:val="0"/>
                <w:i/>
                <w:color w:val="666666"/>
                <w:sz w:val="17"/>
              </w:rPr>
              <w:br/>
              <w:t>Address</w:t>
            </w:r>
          </w:p>
        </w:tc>
        <w:tc>
          <w:tcPr>
            <w:tcW w:type="dxa" w:w="6804"/>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b w:val="0"/>
                <w:color w:val="1F2937"/>
                <w:sz w:val="17"/>
              </w:rPr>
              <w:t>Manisa OSB 2. Kısım Keçiliköy OSB Mh., Gaziler Cad. No:6, 45030 Yunusemre-Manisa / Türkiye</w:t>
            </w:r>
          </w:p>
        </w:tc>
      </w:tr>
      <w:tr>
        <w:trPr>
          <w:cantSplit/>
        </w:trPr>
        <w:tc>
          <w:tcPr>
            <w:tcW w:type="dxa" w:w="3061"/>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shd w:fill="EAF2F8"/>
          </w:tcPr>
          <w:p>
            <w:pPr>
              <w:spacing w:before="0" w:after="0" w:line="240" w:lineRule="auto"/>
            </w:pPr>
            <w:r>
              <w:rPr>
                <w:rFonts w:ascii="Tahoma" w:hAnsi="Tahoma" w:eastAsia="Tahoma"/>
                <w:b w:val="0"/>
                <w:i w:val="0"/>
                <w:color w:val="1F2937"/>
                <w:sz w:val="17"/>
              </w:rPr>
            </w:r>
            <w:r>
              <w:rPr>
                <w:rFonts w:ascii="Tahoma" w:hAnsi="Tahoma" w:eastAsia="Tahoma"/>
                <w:b/>
                <w:i w:val="0"/>
                <w:color w:val="17365D"/>
                <w:sz w:val="17"/>
              </w:rPr>
              <w:t>Elektronik iletişim</w:t>
            </w:r>
            <w:r>
              <w:rPr>
                <w:rFonts w:ascii="Tahoma" w:hAnsi="Tahoma" w:eastAsia="Tahoma"/>
                <w:b w:val="0"/>
                <w:i/>
                <w:color w:val="666666"/>
                <w:sz w:val="17"/>
              </w:rPr>
              <w:br/>
              <w:t>Electronic contact</w:t>
            </w:r>
          </w:p>
        </w:tc>
        <w:tc>
          <w:tcPr>
            <w:tcW w:type="dxa" w:w="6804"/>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b w:val="0"/>
                <w:color w:val="1F2937"/>
                <w:sz w:val="17"/>
              </w:rPr>
              <w:t>info@inciaku.com • www.inciaku.com / +90 236 233 25 10</w:t>
            </w:r>
          </w:p>
        </w:tc>
      </w:tr>
      <w:tr>
        <w:trPr>
          <w:cantSplit/>
        </w:trPr>
        <w:tc>
          <w:tcPr>
            <w:tcW w:type="dxa" w:w="3061"/>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shd w:fill="EAF2F8"/>
          </w:tcPr>
          <w:p>
            <w:pPr>
              <w:spacing w:before="0" w:after="0" w:line="240" w:lineRule="auto"/>
            </w:pPr>
            <w:r>
              <w:rPr>
                <w:rFonts w:ascii="Tahoma" w:hAnsi="Tahoma" w:eastAsia="Tahoma"/>
                <w:b w:val="0"/>
                <w:i w:val="0"/>
                <w:color w:val="1F2937"/>
                <w:sz w:val="17"/>
              </w:rPr>
            </w:r>
            <w:r>
              <w:rPr>
                <w:rFonts w:ascii="Tahoma" w:hAnsi="Tahoma" w:eastAsia="Tahoma"/>
                <w:b/>
                <w:i w:val="0"/>
                <w:color w:val="17365D"/>
                <w:sz w:val="17"/>
              </w:rPr>
              <w:t>Teknik Dosya</w:t>
            </w:r>
            <w:r>
              <w:rPr>
                <w:rFonts w:ascii="Tahoma" w:hAnsi="Tahoma" w:eastAsia="Tahoma"/>
                <w:b w:val="0"/>
                <w:i/>
                <w:color w:val="666666"/>
                <w:sz w:val="17"/>
              </w:rPr>
              <w:br/>
              <w:t>Technical File</w:t>
            </w:r>
          </w:p>
        </w:tc>
        <w:tc>
          <w:tcPr>
            <w:tcW w:type="dxa" w:w="6804"/>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b w:val="0"/>
                <w:color w:val="1F2937"/>
                <w:sz w:val="17"/>
              </w:rPr>
              <w:t>IA-PPWR-TF-ST-012-EUR-01-R00</w:t>
            </w:r>
          </w:p>
        </w:tc>
      </w:tr>
      <w:tr>
        <w:trPr>
          <w:cantSplit/>
        </w:trPr>
        <w:tc>
          <w:tcPr>
            <w:tcW w:type="dxa" w:w="3061"/>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shd w:fill="EAF2F8"/>
          </w:tcPr>
          <w:p>
            <w:pPr>
              <w:spacing w:before="0" w:after="0" w:line="240" w:lineRule="auto"/>
            </w:pPr>
            <w:r>
              <w:rPr>
                <w:rFonts w:ascii="Tahoma" w:hAnsi="Tahoma" w:eastAsia="Tahoma"/>
                <w:b w:val="0"/>
                <w:i w:val="0"/>
                <w:color w:val="1F2937"/>
                <w:sz w:val="17"/>
              </w:rPr>
            </w:r>
            <w:r>
              <w:rPr>
                <w:rFonts w:ascii="Tahoma" w:hAnsi="Tahoma" w:eastAsia="Tahoma"/>
                <w:b/>
                <w:i w:val="0"/>
                <w:color w:val="17365D"/>
                <w:sz w:val="17"/>
              </w:rPr>
              <w:t>Revizyon / yayın tarihi</w:t>
            </w:r>
            <w:r>
              <w:rPr>
                <w:rFonts w:ascii="Tahoma" w:hAnsi="Tahoma" w:eastAsia="Tahoma"/>
                <w:b w:val="0"/>
                <w:i/>
                <w:color w:val="666666"/>
                <w:sz w:val="17"/>
              </w:rPr>
              <w:br/>
              <w:t>Revision / issue date</w:t>
            </w:r>
          </w:p>
        </w:tc>
        <w:tc>
          <w:tcPr>
            <w:tcW w:type="dxa" w:w="6804"/>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b w:val="0"/>
                <w:color w:val="1F2937"/>
                <w:sz w:val="17"/>
              </w:rPr>
              <w:t>Rev.00 / 08.08.2026</w:t>
            </w:r>
          </w:p>
        </w:tc>
      </w:tr>
    </w:tbl>
    <w:p>
      <w:pPr>
        <w:spacing w:after="120" w:line="24" w:lineRule="auto"/>
      </w:pPr>
      <w:r>
        <w:rPr>
          <w:rFonts w:ascii="Tahoma" w:hAnsi="Tahoma" w:eastAsia="Tahoma"/>
          <w:b w:val="0"/>
          <w:i w:val="0"/>
          <w:color w:val="FFFFFF"/>
          <w:sz w:val="2"/>
        </w:rPr>
        <w:t xml:space="preserve"> </w:t>
      </w:r>
    </w:p>
    <w:p>
      <w:pPr>
        <w:keepNext/>
        <w:spacing w:before="140" w:after="80" w:line="259" w:lineRule="auto"/>
        <w:pBdr>
          <w:bottom w:val="single" w:sz="8" w:space="2" w:color="F4C300"/>
        </w:pBdr>
      </w:pPr>
      <w:r>
        <w:rPr>
          <w:rFonts w:ascii="Tahoma" w:hAnsi="Tahoma" w:eastAsia="Tahoma"/>
          <w:b/>
          <w:i w:val="0"/>
          <w:color w:val="17365D"/>
          <w:sz w:val="24"/>
        </w:rPr>
        <w:t>01  TEK SORUMLULUK VE BEYANIN KONUSU</w:t>
      </w:r>
      <w:r>
        <w:rPr>
          <w:rFonts w:ascii="Tahoma" w:hAnsi="Tahoma" w:eastAsia="Tahoma"/>
          <w:b w:val="0"/>
          <w:i/>
          <w:color w:val="666666"/>
          <w:sz w:val="20"/>
        </w:rPr>
        <w:br/>
        <w:t>01  SOLE RESPONSIBILITY AND OBJECT OF THE DECLARATION</w:t>
      </w:r>
    </w:p>
    <w:p>
      <w:pPr>
        <w:spacing w:before="0" w:after="120" w:line="259" w:lineRule="auto"/>
      </w:pPr>
      <w:r>
        <w:rPr>
          <w:rFonts w:ascii="Tahoma" w:hAnsi="Tahoma"/>
          <w:b w:val="0"/>
          <w:color w:val="1F2937"/>
          <w:sz w:val="20"/>
        </w:rPr>
        <w:t>Bu AB Uygunluk Beyanı, İnci Akü Sanayi ve Ticaret A.Ş.’nin bu belgede ve bağlantılı Teknik Dosyada tanımlanan sorumluluk kapsamı için tek sorumluluğu altında düzenlenmiştir.</w:t>
      </w:r>
      <w:r>
        <w:rPr>
          <w:rFonts w:ascii="Tahoma" w:hAnsi="Tahoma"/>
          <w:i/>
          <w:color w:val="666666"/>
          <w:sz w:val="20"/>
        </w:rPr>
        <w:br/>
        <w:t>This EU Declaration of Conformity is issued under the sole responsibility of İnci Akü Sanayi ve Ticaret A.Ş. for the responsibility scope identified in this declaration and the linked Technical File.</w:t>
      </w:r>
    </w:p>
    <w:p>
      <w:pPr>
        <w:spacing w:before="0" w:after="120" w:line="259" w:lineRule="auto"/>
      </w:pPr>
      <w:r>
        <w:rPr>
          <w:rFonts w:ascii="Tahoma" w:hAnsi="Tahoma"/>
          <w:b w:val="0"/>
          <w:color w:val="1F2937"/>
          <w:sz w:val="20"/>
        </w:rPr>
        <w:t>Beyanın konusu ST-012-EUR-01 kimlikli sabit ambalaj varyantıdır. Ayırt edici özellik ve sabit BOM, bağlantılı Teknik Dosyada tanımlanmıştır.</w:t>
      </w:r>
      <w:r>
        <w:rPr>
          <w:rFonts w:ascii="Tahoma" w:hAnsi="Tahoma"/>
          <w:i/>
          <w:color w:val="666666"/>
          <w:sz w:val="20"/>
        </w:rPr>
        <w:br/>
        <w:t>The object of the declaration is fixed packaging variant ST-012-EUR-01. Its variant basis and fixed BOM are defined in the linked Technical File.</w:t>
      </w:r>
    </w:p>
    <w:p>
      <w:pPr>
        <w:keepNext/>
        <w:spacing w:before="140" w:after="80" w:line="259" w:lineRule="auto"/>
        <w:pBdr>
          <w:bottom w:val="single" w:sz="8" w:space="2" w:color="F4C300"/>
        </w:pBdr>
      </w:pPr>
      <w:r>
        <w:rPr>
          <w:rFonts w:ascii="Tahoma" w:hAnsi="Tahoma" w:eastAsia="Tahoma"/>
          <w:b/>
          <w:i w:val="0"/>
          <w:color w:val="17365D"/>
          <w:sz w:val="24"/>
        </w:rPr>
        <w:t>02  UYGUNLUK BEYANI VE TEKNİK REFERANSLAR</w:t>
      </w:r>
      <w:r>
        <w:rPr>
          <w:rFonts w:ascii="Tahoma" w:hAnsi="Tahoma" w:eastAsia="Tahoma"/>
          <w:b w:val="0"/>
          <w:i/>
          <w:color w:val="666666"/>
          <w:sz w:val="20"/>
        </w:rPr>
        <w:br/>
        <w:t>02  DECLARATION OF CONFORMITY AND TECHNICAL REFERENCES</w:t>
      </w:r>
    </w:p>
    <w:p>
      <w:pPr>
        <w:spacing w:before="0" w:after="100" w:line="259" w:lineRule="auto"/>
      </w:pPr>
      <w:r>
        <w:rPr>
          <w:rFonts w:ascii="Tahoma" w:hAnsi="Tahoma" w:eastAsia="Tahoma"/>
          <w:b w:val="0"/>
          <w:i w:val="0"/>
          <w:color w:val="1F2937"/>
          <w:sz w:val="20"/>
        </w:rPr>
        <w:t>Yukarıda tanımlanan ambalajın, bu beyanın yayın tarihinde uygulanabilir olan Regulation (EU) 2025/40 hükümlerine uygunluğu, bağlantılı Teknik Dosya ve Rev.00 kontrollü teknik kayıt esas alınarak değerlendirilmiştir.</w:t>
      </w:r>
      <w:r>
        <w:rPr>
          <w:rFonts w:ascii="Tahoma" w:hAnsi="Tahoma" w:eastAsia="Tahoma"/>
          <w:b w:val="0"/>
          <w:i/>
          <w:color w:val="666666"/>
          <w:sz w:val="20"/>
        </w:rPr>
        <w:br/>
        <w:t>The packaging identified above has been assessed against the provisions of Regulation (EU) 2025/40 applicable on the issue date, on the basis of the linked Technical File and the Rev.00 controlled technical record.</w:t>
      </w:r>
    </w:p>
    <w:tbl>
      <w:tblPr>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2494"/>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shd w:fill="17365D"/>
          </w:tcPr>
          <w:p>
            <w:pPr>
              <w:spacing w:before="0" w:after="0" w:line="240" w:lineRule="auto"/>
              <w:jc w:val="center"/>
            </w:pPr>
            <w:r>
              <w:rPr>
                <w:rFonts w:ascii="Tahoma" w:hAnsi="Tahoma" w:eastAsia="Tahoma"/>
                <w:b w:val="0"/>
                <w:i w:val="0"/>
                <w:color w:val="1F2937"/>
                <w:sz w:val="17"/>
              </w:rPr>
            </w:r>
            <w:r>
              <w:rPr>
                <w:rFonts w:ascii="Tahoma" w:hAnsi="Tahoma" w:eastAsia="Tahoma"/>
                <w:b/>
                <w:i w:val="0"/>
                <w:color w:val="FFFFFF"/>
                <w:sz w:val="17"/>
              </w:rPr>
              <w:t>Referans</w:t>
            </w:r>
            <w:r>
              <w:rPr>
                <w:rFonts w:ascii="Tahoma" w:hAnsi="Tahoma" w:eastAsia="Tahoma"/>
                <w:b w:val="0"/>
                <w:i/>
                <w:color w:val="FFFFFF"/>
                <w:sz w:val="17"/>
              </w:rPr>
              <w:br/>
              <w:t>Reference</w:t>
            </w:r>
          </w:p>
        </w:tc>
        <w:tc>
          <w:tcPr>
            <w:tcW w:type="dxa" w:w="3458"/>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shd w:fill="17365D"/>
          </w:tcPr>
          <w:p>
            <w:pPr>
              <w:spacing w:before="0" w:after="0" w:line="240" w:lineRule="auto"/>
              <w:jc w:val="center"/>
            </w:pPr>
            <w:r>
              <w:rPr>
                <w:rFonts w:ascii="Tahoma" w:hAnsi="Tahoma" w:eastAsia="Tahoma"/>
                <w:b w:val="0"/>
                <w:i w:val="0"/>
                <w:color w:val="1F2937"/>
                <w:sz w:val="17"/>
              </w:rPr>
            </w:r>
            <w:r>
              <w:rPr>
                <w:rFonts w:ascii="Tahoma" w:hAnsi="Tahoma" w:eastAsia="Tahoma"/>
                <w:b/>
                <w:i w:val="0"/>
                <w:color w:val="FFFFFF"/>
                <w:sz w:val="17"/>
              </w:rPr>
              <w:t>Konu</w:t>
            </w:r>
            <w:r>
              <w:rPr>
                <w:rFonts w:ascii="Tahoma" w:hAnsi="Tahoma" w:eastAsia="Tahoma"/>
                <w:b w:val="0"/>
                <w:i/>
                <w:color w:val="FFFFFF"/>
                <w:sz w:val="17"/>
              </w:rPr>
              <w:br/>
              <w:t>Subject</w:t>
            </w:r>
          </w:p>
        </w:tc>
        <w:tc>
          <w:tcPr>
            <w:tcW w:type="dxa" w:w="4309"/>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shd w:fill="17365D"/>
          </w:tcPr>
          <w:p>
            <w:pPr>
              <w:spacing w:before="0" w:after="0" w:line="240" w:lineRule="auto"/>
              <w:jc w:val="center"/>
            </w:pPr>
            <w:r>
              <w:rPr>
                <w:rFonts w:ascii="Tahoma" w:hAnsi="Tahoma" w:eastAsia="Tahoma"/>
                <w:b w:val="0"/>
                <w:i w:val="0"/>
                <w:color w:val="1F2937"/>
                <w:sz w:val="17"/>
              </w:rPr>
            </w:r>
            <w:r>
              <w:rPr>
                <w:rFonts w:ascii="Tahoma" w:hAnsi="Tahoma" w:eastAsia="Tahoma"/>
                <w:b/>
                <w:i w:val="0"/>
                <w:color w:val="FFFFFF"/>
                <w:sz w:val="17"/>
              </w:rPr>
              <w:t>Uygulama / durum</w:t>
            </w:r>
            <w:r>
              <w:rPr>
                <w:rFonts w:ascii="Tahoma" w:hAnsi="Tahoma" w:eastAsia="Tahoma"/>
                <w:b w:val="0"/>
                <w:i/>
                <w:color w:val="FFFFFF"/>
                <w:sz w:val="17"/>
              </w:rPr>
              <w:br/>
              <w:t>Application / status</w:t>
            </w:r>
          </w:p>
        </w:tc>
      </w:tr>
      <w:tr>
        <w:trPr>
          <w:cantSplit/>
        </w:trPr>
        <w:tc>
          <w:tcPr>
            <w:tcW w:type="dxa" w:w="2494"/>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eastAsia="Tahoma"/>
                <w:b w:val="0"/>
                <w:i w:val="0"/>
                <w:color w:val="1F2937"/>
                <w:sz w:val="17"/>
              </w:rPr>
            </w:r>
            <w:r>
              <w:rPr>
                <w:rFonts w:ascii="Tahoma" w:hAnsi="Tahoma" w:eastAsia="Tahoma"/>
                <w:b/>
                <w:i w:val="0"/>
                <w:color w:val="1F2937"/>
                <w:sz w:val="17"/>
              </w:rPr>
              <w:t>Regulation (EU) 2025/40</w:t>
            </w:r>
          </w:p>
        </w:tc>
        <w:tc>
          <w:tcPr>
            <w:tcW w:type="dxa" w:w="3458"/>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eastAsia="Tahoma"/>
                <w:b w:val="0"/>
                <w:i w:val="0"/>
                <w:color w:val="1F2937"/>
                <w:sz w:val="17"/>
              </w:rPr>
            </w:r>
            <w:r>
              <w:rPr>
                <w:rFonts w:ascii="Tahoma" w:hAnsi="Tahoma" w:eastAsia="Tahoma"/>
                <w:b w:val="0"/>
                <w:i w:val="0"/>
                <w:color w:val="1F2937"/>
                <w:sz w:val="17"/>
              </w:rPr>
              <w:t>Ambalaj ve ambalaj atıkları</w:t>
            </w:r>
            <w:r>
              <w:rPr>
                <w:rFonts w:ascii="Tahoma" w:hAnsi="Tahoma" w:eastAsia="Tahoma"/>
                <w:b w:val="0"/>
                <w:i/>
                <w:color w:val="666666"/>
                <w:sz w:val="17"/>
              </w:rPr>
              <w:br/>
              <w:t>Packaging and packaging waste</w:t>
            </w:r>
          </w:p>
        </w:tc>
        <w:tc>
          <w:tcPr>
            <w:tcW w:type="dxa" w:w="4309"/>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eastAsia="Tahoma"/>
                <w:b w:val="0"/>
                <w:i w:val="0"/>
                <w:color w:val="1F2937"/>
                <w:sz w:val="17"/>
              </w:rPr>
            </w:r>
            <w:r>
              <w:rPr>
                <w:rFonts w:ascii="Tahoma" w:hAnsi="Tahoma" w:eastAsia="Tahoma"/>
                <w:b w:val="0"/>
                <w:i w:val="0"/>
                <w:color w:val="1F2937"/>
                <w:sz w:val="17"/>
              </w:rPr>
              <w:t>Bu beyanın yasal dayanağı</w:t>
            </w:r>
            <w:r>
              <w:rPr>
                <w:rFonts w:ascii="Tahoma" w:hAnsi="Tahoma" w:eastAsia="Tahoma"/>
                <w:b w:val="0"/>
                <w:i/>
                <w:color w:val="666666"/>
                <w:sz w:val="17"/>
              </w:rPr>
              <w:br/>
              <w:t>Legal basis of this declaration</w:t>
            </w:r>
          </w:p>
        </w:tc>
      </w:tr>
      <w:tr>
        <w:trPr>
          <w:cantSplit/>
        </w:trPr>
        <w:tc>
          <w:tcPr>
            <w:tcW w:type="dxa" w:w="2494"/>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eastAsia="Tahoma"/>
                <w:b w:val="0"/>
                <w:i w:val="0"/>
                <w:color w:val="1F2937"/>
                <w:sz w:val="17"/>
              </w:rPr>
            </w:r>
            <w:r>
              <w:rPr>
                <w:rFonts w:ascii="Tahoma" w:hAnsi="Tahoma" w:eastAsia="Tahoma"/>
                <w:b/>
                <w:i w:val="0"/>
                <w:color w:val="1F2937"/>
                <w:sz w:val="17"/>
              </w:rPr>
              <w:t>Annex VII / Module A</w:t>
            </w:r>
          </w:p>
        </w:tc>
        <w:tc>
          <w:tcPr>
            <w:tcW w:type="dxa" w:w="3458"/>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eastAsia="Tahoma"/>
                <w:b w:val="0"/>
                <w:i w:val="0"/>
                <w:color w:val="1F2937"/>
                <w:sz w:val="17"/>
              </w:rPr>
            </w:r>
            <w:r>
              <w:rPr>
                <w:rFonts w:ascii="Tahoma" w:hAnsi="Tahoma" w:eastAsia="Tahoma"/>
                <w:b w:val="0"/>
                <w:i w:val="0"/>
                <w:color w:val="1F2937"/>
                <w:sz w:val="17"/>
              </w:rPr>
              <w:t>İç üretim kontrolü</w:t>
            </w:r>
            <w:r>
              <w:rPr>
                <w:rFonts w:ascii="Tahoma" w:hAnsi="Tahoma" w:eastAsia="Tahoma"/>
                <w:b w:val="0"/>
                <w:i/>
                <w:color w:val="666666"/>
                <w:sz w:val="17"/>
              </w:rPr>
              <w:br/>
              <w:t>Internal production control</w:t>
            </w:r>
          </w:p>
        </w:tc>
        <w:tc>
          <w:tcPr>
            <w:tcW w:type="dxa" w:w="4309"/>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eastAsia="Tahoma"/>
                <w:b w:val="0"/>
                <w:i w:val="0"/>
                <w:color w:val="1F2937"/>
                <w:sz w:val="17"/>
              </w:rPr>
            </w:r>
            <w:r>
              <w:rPr>
                <w:rFonts w:ascii="Tahoma" w:hAnsi="Tahoma" w:eastAsia="Tahoma"/>
                <w:b w:val="0"/>
                <w:i w:val="0"/>
                <w:color w:val="1F2937"/>
                <w:sz w:val="17"/>
              </w:rPr>
              <w:t>Bağlantılı Teknik Dosya üzerinden uygulanır</w:t>
            </w:r>
            <w:r>
              <w:rPr>
                <w:rFonts w:ascii="Tahoma" w:hAnsi="Tahoma" w:eastAsia="Tahoma"/>
                <w:b w:val="0"/>
                <w:i/>
                <w:color w:val="666666"/>
                <w:sz w:val="17"/>
              </w:rPr>
              <w:br/>
              <w:t>Applied through the linked Technical File</w:t>
            </w:r>
          </w:p>
        </w:tc>
      </w:tr>
      <w:tr>
        <w:trPr>
          <w:cantSplit/>
        </w:trPr>
        <w:tc>
          <w:tcPr>
            <w:tcW w:type="dxa" w:w="2494"/>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b w:val="0"/>
                <w:color w:val="1F2937"/>
                <w:sz w:val="16"/>
              </w:rPr>
              <w:t>IA-PPWR-TF-ST-012-EUR-01-R00</w:t>
            </w:r>
          </w:p>
        </w:tc>
        <w:tc>
          <w:tcPr>
            <w:tcW w:type="dxa" w:w="3458"/>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eastAsia="Tahoma"/>
                <w:b w:val="0"/>
                <w:i w:val="0"/>
                <w:color w:val="1F2937"/>
                <w:sz w:val="17"/>
              </w:rPr>
            </w:r>
            <w:r>
              <w:rPr>
                <w:rFonts w:ascii="Tahoma" w:hAnsi="Tahoma" w:eastAsia="Tahoma"/>
                <w:b w:val="0"/>
                <w:i w:val="0"/>
                <w:color w:val="1F2937"/>
                <w:sz w:val="17"/>
              </w:rPr>
              <w:t>Teknik değerlendirme ve sabit BOM</w:t>
            </w:r>
            <w:r>
              <w:rPr>
                <w:rFonts w:ascii="Tahoma" w:hAnsi="Tahoma" w:eastAsia="Tahoma"/>
                <w:b w:val="0"/>
                <w:i/>
                <w:color w:val="666666"/>
                <w:sz w:val="17"/>
              </w:rPr>
              <w:br/>
              <w:t>Technical assessment and fixed BOM</w:t>
            </w:r>
          </w:p>
        </w:tc>
        <w:tc>
          <w:tcPr>
            <w:tcW w:type="dxa" w:w="4309"/>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eastAsia="Tahoma"/>
                <w:b w:val="0"/>
                <w:i w:val="0"/>
                <w:color w:val="1F2937"/>
                <w:sz w:val="17"/>
              </w:rPr>
            </w:r>
            <w:r>
              <w:rPr>
                <w:rFonts w:ascii="Tahoma" w:hAnsi="Tahoma" w:eastAsia="Tahoma"/>
                <w:b w:val="0"/>
                <w:i w:val="0"/>
                <w:color w:val="1F2937"/>
                <w:sz w:val="17"/>
              </w:rPr>
              <w:t>Kontrollü teknik referans</w:t>
            </w:r>
            <w:r>
              <w:rPr>
                <w:rFonts w:ascii="Tahoma" w:hAnsi="Tahoma" w:eastAsia="Tahoma"/>
                <w:b w:val="0"/>
                <w:i/>
                <w:color w:val="666666"/>
                <w:sz w:val="17"/>
              </w:rPr>
              <w:br/>
              <w:t>Controlled technical reference</w:t>
            </w:r>
          </w:p>
        </w:tc>
      </w:tr>
      <w:tr>
        <w:trPr>
          <w:cantSplit/>
        </w:trPr>
        <w:tc>
          <w:tcPr>
            <w:tcW w:type="dxa" w:w="2494"/>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eastAsia="Tahoma"/>
                <w:b w:val="0"/>
                <w:i w:val="0"/>
                <w:color w:val="1F2937"/>
                <w:sz w:val="17"/>
              </w:rPr>
            </w:r>
            <w:r>
              <w:rPr>
                <w:rFonts w:ascii="Tahoma" w:hAnsi="Tahoma" w:eastAsia="Tahoma"/>
                <w:b/>
                <w:i w:val="0"/>
                <w:color w:val="1F2937"/>
                <w:sz w:val="17"/>
              </w:rPr>
              <w:t>Rev.00 Article 5 assessment basis</w:t>
            </w:r>
          </w:p>
        </w:tc>
        <w:tc>
          <w:tcPr>
            <w:tcW w:type="dxa" w:w="3458"/>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eastAsia="Tahoma"/>
                <w:b w:val="0"/>
                <w:i w:val="0"/>
                <w:color w:val="1F2937"/>
                <w:sz w:val="17"/>
              </w:rPr>
            </w:r>
            <w:r>
              <w:rPr>
                <w:rFonts w:ascii="Tahoma" w:hAnsi="Tahoma" w:eastAsia="Tahoma"/>
                <w:b w:val="0"/>
                <w:i w:val="0"/>
                <w:color w:val="1F2937"/>
                <w:sz w:val="17"/>
              </w:rPr>
              <w:t>Ağır metal / SoC değerlendirme esası</w:t>
            </w:r>
            <w:r>
              <w:rPr>
                <w:rFonts w:ascii="Tahoma" w:hAnsi="Tahoma" w:eastAsia="Tahoma"/>
                <w:b w:val="0"/>
                <w:i/>
                <w:color w:val="666666"/>
                <w:sz w:val="17"/>
              </w:rPr>
              <w:br/>
              <w:t>Heavy-metal / SoC assessment basis</w:t>
            </w:r>
          </w:p>
        </w:tc>
        <w:tc>
          <w:tcPr>
            <w:tcW w:type="dxa" w:w="4309"/>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eastAsia="Tahoma"/>
                <w:b w:val="0"/>
                <w:i w:val="0"/>
                <w:color w:val="1F2937"/>
                <w:sz w:val="17"/>
              </w:rPr>
            </w:r>
            <w:r>
              <w:rPr>
                <w:rFonts w:ascii="Tahoma" w:hAnsi="Tahoma" w:eastAsia="Tahoma"/>
                <w:b w:val="0"/>
                <w:i w:val="0"/>
                <w:color w:val="1F2937"/>
                <w:sz w:val="17"/>
              </w:rPr>
              <w:t>Desteklenmeyen bileşen-seviyesi sayısal iddia yok</w:t>
            </w:r>
            <w:r>
              <w:rPr>
                <w:rFonts w:ascii="Tahoma" w:hAnsi="Tahoma" w:eastAsia="Tahoma"/>
                <w:b w:val="0"/>
                <w:i/>
                <w:color w:val="666666"/>
                <w:sz w:val="17"/>
              </w:rPr>
              <w:br/>
              <w:t>No unsupported component-level numerical claim</w:t>
            </w:r>
          </w:p>
        </w:tc>
      </w:tr>
    </w:tbl>
    <w:p>
      <w:pPr>
        <w:spacing w:after="120" w:line="24" w:lineRule="auto"/>
      </w:pPr>
      <w:r>
        <w:rPr>
          <w:rFonts w:ascii="Tahoma" w:hAnsi="Tahoma" w:eastAsia="Tahoma"/>
          <w:b w:val="0"/>
          <w:i w:val="0"/>
          <w:color w:val="FFFFFF"/>
          <w:sz w:val="2"/>
        </w:rPr>
        <w:t xml:space="preserve"> </w:t>
      </w:r>
    </w:p>
    <w:p>
      <w:pPr>
        <w:spacing w:before="0" w:after="60" w:line="259" w:lineRule="auto"/>
      </w:pPr>
      <w:r>
        <w:rPr>
          <w:rFonts w:ascii="Tahoma" w:hAnsi="Tahoma"/>
          <w:sz w:val="20"/>
        </w:rPr>
        <w:t>Henüz uygulanmayan veya ikincil mevzuatı tamamlanmamış gereklilikler için erken performans/uygunluk iddiası oluşturulmaz.</w:t>
      </w:r>
      <w:r>
        <w:rPr>
          <w:rFonts w:ascii="Tahoma" w:hAnsi="Tahoma"/>
          <w:i/>
          <w:sz w:val="20"/>
        </w:rPr>
        <w:br/>
        <w:t>No early performance or conformity claim is made for requirements not yet applicable or awaiting secondary legislation.</w:t>
      </w:r>
    </w:p>
    <w:p>
      <w:pPr>
        <w:keepNext/>
        <w:spacing w:before="140" w:after="80" w:line="259" w:lineRule="auto"/>
        <w:pBdr>
          <w:bottom w:val="single" w:sz="8" w:space="2" w:color="F4C300"/>
        </w:pBdr>
      </w:pPr>
      <w:r>
        <w:rPr>
          <w:rFonts w:ascii="Tahoma" w:hAnsi="Tahoma" w:eastAsia="Tahoma"/>
          <w:b/>
          <w:i w:val="0"/>
          <w:color w:val="17365D"/>
          <w:sz w:val="24"/>
        </w:rPr>
        <w:t>03  EK BİLGİLER, GEÇERLİLİK VE İMZA</w:t>
      </w:r>
      <w:r>
        <w:rPr>
          <w:rFonts w:ascii="Tahoma" w:hAnsi="Tahoma" w:eastAsia="Tahoma"/>
          <w:b w:val="0"/>
          <w:i/>
          <w:color w:val="666666"/>
          <w:sz w:val="20"/>
        </w:rPr>
        <w:br/>
        <w:t>03  ADDITIONAL INFORMATION, VALIDITY AND SIGNATURE</w:t>
      </w:r>
    </w:p>
    <w:tbl>
      <w:tblPr>
        <w:tblW w:type="auto" w:w="0"/>
        <w:jc w:val="center"/>
        <w:tblLayout w:type="fixed"/>
        <w:tblLook w:firstColumn="1" w:firstRow="1" w:lastColumn="0" w:lastRow="0" w:noHBand="0" w:noVBand="1" w:val="04A0"/>
      </w:tblPr>
      <w:tblGrid>
        <w:gridCol w:w="5131"/>
        <w:gridCol w:w="5131"/>
      </w:tblGrid>
      <w:tr>
        <w:trPr>
          <w:cantSplit/>
        </w:trPr>
        <w:tc>
          <w:tcPr>
            <w:tcW w:type="dxa" w:w="3061"/>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shd w:fill="EAF2F8"/>
          </w:tcPr>
          <w:p>
            <w:pPr>
              <w:spacing w:before="0" w:after="0" w:line="240" w:lineRule="auto"/>
            </w:pPr>
            <w:r>
              <w:rPr>
                <w:rFonts w:ascii="Tahoma" w:hAnsi="Tahoma" w:eastAsia="Tahoma"/>
                <w:b w:val="0"/>
                <w:i w:val="0"/>
                <w:color w:val="1F2937"/>
                <w:sz w:val="17"/>
              </w:rPr>
            </w:r>
            <w:r>
              <w:rPr>
                <w:rFonts w:ascii="Tahoma" w:hAnsi="Tahoma" w:eastAsia="Tahoma"/>
                <w:b/>
                <w:i w:val="0"/>
                <w:color w:val="17365D"/>
                <w:sz w:val="17"/>
              </w:rPr>
              <w:t>Source BOM ID</w:t>
            </w:r>
            <w:r>
              <w:rPr>
                <w:rFonts w:ascii="Tahoma" w:hAnsi="Tahoma" w:eastAsia="Tahoma"/>
                <w:b w:val="0"/>
                <w:i/>
                <w:color w:val="666666"/>
                <w:sz w:val="17"/>
              </w:rPr>
              <w:br/>
              <w:t>Source BOM ID</w:t>
            </w:r>
          </w:p>
        </w:tc>
        <w:tc>
          <w:tcPr>
            <w:tcW w:type="dxa" w:w="6804"/>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b w:val="0"/>
                <w:color w:val="1F2937"/>
                <w:sz w:val="17"/>
              </w:rPr>
              <w:t>IA-ST-CFG-0004</w:t>
            </w:r>
          </w:p>
        </w:tc>
      </w:tr>
      <w:tr>
        <w:trPr>
          <w:cantSplit/>
        </w:trPr>
        <w:tc>
          <w:tcPr>
            <w:tcW w:type="dxa" w:w="3061"/>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shd w:fill="EAF2F8"/>
          </w:tcPr>
          <w:p>
            <w:pPr>
              <w:spacing w:before="0" w:after="0" w:line="240" w:lineRule="auto"/>
            </w:pPr>
            <w:r>
              <w:rPr>
                <w:rFonts w:ascii="Tahoma" w:hAnsi="Tahoma" w:eastAsia="Tahoma"/>
                <w:b w:val="0"/>
                <w:i w:val="0"/>
                <w:color w:val="1F2937"/>
                <w:sz w:val="17"/>
              </w:rPr>
            </w:r>
            <w:r>
              <w:rPr>
                <w:rFonts w:ascii="Tahoma" w:hAnsi="Tahoma" w:eastAsia="Tahoma"/>
                <w:b/>
                <w:i w:val="0"/>
                <w:color w:val="17365D"/>
                <w:sz w:val="17"/>
              </w:rPr>
              <w:t>Packaging tare</w:t>
            </w:r>
            <w:r>
              <w:rPr>
                <w:rFonts w:ascii="Tahoma" w:hAnsi="Tahoma" w:eastAsia="Tahoma"/>
                <w:b w:val="0"/>
                <w:i/>
                <w:color w:val="666666"/>
                <w:sz w:val="17"/>
              </w:rPr>
              <w:br/>
              <w:t>Packaging tare</w:t>
            </w:r>
          </w:p>
        </w:tc>
        <w:tc>
          <w:tcPr>
            <w:tcW w:type="dxa" w:w="6804"/>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b w:val="0"/>
                <w:color w:val="1F2937"/>
                <w:sz w:val="17"/>
              </w:rPr>
              <w:t>29.3260 kg</w:t>
            </w:r>
          </w:p>
        </w:tc>
      </w:tr>
      <w:tr>
        <w:trPr>
          <w:cantSplit/>
        </w:trPr>
        <w:tc>
          <w:tcPr>
            <w:tcW w:type="dxa" w:w="3061"/>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shd w:fill="EAF2F8"/>
          </w:tcPr>
          <w:p>
            <w:pPr>
              <w:spacing w:before="0" w:after="0" w:line="240" w:lineRule="auto"/>
            </w:pPr>
            <w:r>
              <w:rPr>
                <w:rFonts w:ascii="Tahoma" w:hAnsi="Tahoma" w:eastAsia="Tahoma"/>
                <w:b w:val="0"/>
                <w:i w:val="0"/>
                <w:color w:val="1F2937"/>
                <w:sz w:val="17"/>
              </w:rPr>
            </w:r>
            <w:r>
              <w:rPr>
                <w:rFonts w:ascii="Tahoma" w:hAnsi="Tahoma" w:eastAsia="Tahoma"/>
                <w:b/>
                <w:i w:val="0"/>
                <w:color w:val="17365D"/>
                <w:sz w:val="17"/>
              </w:rPr>
              <w:t>Geçerlilik</w:t>
            </w:r>
            <w:r>
              <w:rPr>
                <w:rFonts w:ascii="Tahoma" w:hAnsi="Tahoma" w:eastAsia="Tahoma"/>
                <w:b w:val="0"/>
                <w:i/>
                <w:color w:val="666666"/>
                <w:sz w:val="17"/>
              </w:rPr>
              <w:br/>
              <w:t>Validity</w:t>
            </w:r>
          </w:p>
        </w:tc>
        <w:tc>
          <w:tcPr>
            <w:tcW w:type="dxa" w:w="6804"/>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eastAsia="Tahoma"/>
                <w:b w:val="0"/>
                <w:i w:val="0"/>
                <w:color w:val="1F2937"/>
                <w:sz w:val="17"/>
              </w:rPr>
            </w:r>
            <w:r>
              <w:rPr>
                <w:rFonts w:ascii="Tahoma" w:hAnsi="Tahoma" w:eastAsia="Tahoma"/>
                <w:b w:val="0"/>
                <w:i w:val="0"/>
                <w:color w:val="1F2937"/>
                <w:sz w:val="17"/>
              </w:rPr>
              <w:t>Yerine geçen revizyona veya yeniden değerlendirme tetikleyicisine kadar</w:t>
            </w:r>
            <w:r>
              <w:rPr>
                <w:rFonts w:ascii="Tahoma" w:hAnsi="Tahoma" w:eastAsia="Tahoma"/>
                <w:b w:val="0"/>
                <w:i/>
                <w:color w:val="666666"/>
                <w:sz w:val="17"/>
              </w:rPr>
              <w:br/>
              <w:t>Until superseded or a reassessment trigger occurs</w:t>
            </w:r>
          </w:p>
        </w:tc>
      </w:tr>
    </w:tbl>
    <w:p>
      <w:pPr>
        <w:spacing w:after="120" w:line="24" w:lineRule="auto"/>
      </w:pPr>
      <w:r>
        <w:rPr>
          <w:rFonts w:ascii="Tahoma" w:hAnsi="Tahoma" w:eastAsia="Tahoma"/>
          <w:b w:val="0"/>
          <w:i w:val="0"/>
          <w:color w:val="FFFFFF"/>
          <w:sz w:val="2"/>
        </w:rPr>
        <w:t xml:space="preserve"> </w:t>
      </w:r>
    </w:p>
    <w:p>
      <w:pPr>
        <w:spacing w:before="0" w:after="60" w:line="259" w:lineRule="auto"/>
      </w:pPr>
      <w:r>
        <w:rPr>
          <w:rFonts w:ascii="Tahoma" w:hAnsi="Tahoma" w:eastAsia="Tahoma"/>
          <w:b w:val="0"/>
          <w:i w:val="0"/>
          <w:color w:val="1F2937"/>
          <w:sz w:val="20"/>
        </w:rPr>
        <w:t>Ambalaj tasarımı, boyutu, ağırlığı, malzemesi, bileşenleri, sorumlu imalatçı veya uygulanabilir mevzuatta uygunluğu etkileyen değişiklik olduğunda bu beyan yeniden değerlendirilir.</w:t>
      </w:r>
      <w:r>
        <w:rPr>
          <w:rFonts w:ascii="Tahoma" w:hAnsi="Tahoma" w:eastAsia="Tahoma"/>
          <w:b w:val="0"/>
          <w:i/>
          <w:color w:val="666666"/>
          <w:sz w:val="20"/>
        </w:rPr>
        <w:br/>
        <w:t>This declaration is reassessed following a conformity-relevant change to packaging design, dimensions, weight, materials, components, responsible manufacturer or applicable legislation.</w:t>
      </w:r>
    </w:p>
    <w:tbl>
      <w:tblPr>
        <w:tblW w:type="auto" w:w="0"/>
        <w:jc w:val="center"/>
        <w:tblLayout w:type="fixed"/>
        <w:tblLook w:firstColumn="1" w:firstRow="1" w:lastColumn="0" w:lastRow="0" w:noHBand="0" w:noVBand="1" w:val="04A0"/>
      </w:tblPr>
      <w:tblGrid>
        <w:gridCol w:w="5131"/>
        <w:gridCol w:w="5131"/>
      </w:tblGrid>
      <w:tr>
        <w:trPr>
          <w:cantSplit/>
        </w:trPr>
        <w:tc>
          <w:tcPr>
            <w:tcW w:type="dxa" w:w="3515"/>
            <w:vAlign w:val="center"/>
            <w:tcMar>
              <w:top w:w="55" w:type="dxa"/>
              <w:start w:w="90" w:type="dxa"/>
              <w:bottom w:w="55" w:type="dxa"/>
              <w:end w:w="90" w:type="dxa"/>
            </w:tcMar>
            <w:tcBorders>
              <w:top w:val="single" w:sz="4" w:color="AAB7C4"/>
              <w:left w:val="single" w:sz="4" w:color="AAB7C4"/>
              <w:bottom w:val="single" w:sz="4" w:color="AAB7C4"/>
              <w:right w:val="single" w:sz="4" w:color="AAB7C4"/>
              <w:insideH w:val="single" w:sz="4" w:color="AAB7C4"/>
              <w:insideV w:val="single" w:sz="4" w:color="AAB7C4"/>
            </w:tcBorders>
            <w:shd w:fill="EAF2F8"/>
          </w:tcPr>
          <w:p>
            <w:pPr>
              <w:spacing w:before="0" w:after="0" w:line="240" w:lineRule="auto"/>
            </w:pPr>
            <w:r>
              <w:rPr>
                <w:rFonts w:ascii="Tahoma" w:hAnsi="Tahoma" w:eastAsia="Tahoma"/>
                <w:b w:val="0"/>
                <w:i w:val="0"/>
                <w:color w:val="1F2937"/>
                <w:sz w:val="17"/>
              </w:rPr>
            </w:r>
            <w:r>
              <w:rPr>
                <w:rFonts w:ascii="Tahoma" w:hAnsi="Tahoma" w:eastAsia="Tahoma"/>
                <w:b/>
                <w:i w:val="0"/>
                <w:color w:val="17365D"/>
                <w:sz w:val="17"/>
              </w:rPr>
              <w:t>Veriliş yeri ve tarihi</w:t>
            </w:r>
            <w:r>
              <w:rPr>
                <w:rFonts w:ascii="Tahoma" w:hAnsi="Tahoma" w:eastAsia="Tahoma"/>
                <w:b w:val="0"/>
                <w:i/>
                <w:color w:val="666666"/>
                <w:sz w:val="17"/>
              </w:rPr>
              <w:br/>
              <w:t>Place and date of issue</w:t>
            </w:r>
          </w:p>
        </w:tc>
        <w:tc>
          <w:tcPr>
            <w:tcW w:type="dxa" w:w="6804"/>
            <w:vAlign w:val="center"/>
            <w:tcMar>
              <w:top w:w="55" w:type="dxa"/>
              <w:start w:w="90" w:type="dxa"/>
              <w:bottom w:w="55" w:type="dxa"/>
              <w:end w:w="9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eastAsia="Tahoma"/>
                <w:b w:val="0"/>
                <w:i w:val="0"/>
                <w:color w:val="1F2937"/>
                <w:sz w:val="17"/>
              </w:rPr>
            </w:r>
            <w:r>
              <w:rPr>
                <w:rFonts w:ascii="Tahoma" w:hAnsi="Tahoma" w:eastAsia="Tahoma"/>
                <w:b w:val="0"/>
                <w:i w:val="0"/>
                <w:color w:val="1F2937"/>
                <w:sz w:val="17"/>
              </w:rPr>
              <w:t>Manisa / Türkiye  •  __________________</w:t>
            </w:r>
          </w:p>
        </w:tc>
      </w:tr>
      <w:tr>
        <w:trPr>
          <w:cantSplit/>
        </w:trPr>
        <w:tc>
          <w:tcPr>
            <w:tcW w:type="dxa" w:w="3515"/>
            <w:vAlign w:val="center"/>
            <w:tcMar>
              <w:top w:w="55" w:type="dxa"/>
              <w:start w:w="90" w:type="dxa"/>
              <w:bottom w:w="55" w:type="dxa"/>
              <w:end w:w="90" w:type="dxa"/>
            </w:tcMar>
            <w:tcBorders>
              <w:top w:val="single" w:sz="4" w:color="AAB7C4"/>
              <w:left w:val="single" w:sz="4" w:color="AAB7C4"/>
              <w:bottom w:val="single" w:sz="4" w:color="AAB7C4"/>
              <w:right w:val="single" w:sz="4" w:color="AAB7C4"/>
              <w:insideH w:val="single" w:sz="4" w:color="AAB7C4"/>
              <w:insideV w:val="single" w:sz="4" w:color="AAB7C4"/>
            </w:tcBorders>
            <w:shd w:fill="EAF2F8"/>
          </w:tcPr>
          <w:p>
            <w:pPr>
              <w:spacing w:before="0" w:after="0" w:line="240" w:lineRule="auto"/>
            </w:pPr>
            <w:r>
              <w:rPr>
                <w:rFonts w:ascii="Tahoma" w:hAnsi="Tahoma" w:eastAsia="Tahoma"/>
                <w:b w:val="0"/>
                <w:i w:val="0"/>
                <w:color w:val="1F2937"/>
                <w:sz w:val="17"/>
              </w:rPr>
            </w:r>
            <w:r>
              <w:rPr>
                <w:rFonts w:ascii="Tahoma" w:hAnsi="Tahoma" w:eastAsia="Tahoma"/>
                <w:b/>
                <w:i w:val="0"/>
                <w:color w:val="17365D"/>
                <w:sz w:val="17"/>
              </w:rPr>
              <w:t>Ad / görev / imza</w:t>
            </w:r>
            <w:r>
              <w:rPr>
                <w:rFonts w:ascii="Tahoma" w:hAnsi="Tahoma" w:eastAsia="Tahoma"/>
                <w:b w:val="0"/>
                <w:i/>
                <w:color w:val="666666"/>
                <w:sz w:val="17"/>
              </w:rPr>
              <w:br/>
              <w:t>Name / function / signature</w:t>
            </w:r>
          </w:p>
        </w:tc>
        <w:tc>
          <w:tcPr>
            <w:tcW w:type="dxa" w:w="6804"/>
            <w:vAlign w:val="center"/>
            <w:tcMar>
              <w:top w:w="55" w:type="dxa"/>
              <w:start w:w="90" w:type="dxa"/>
              <w:bottom w:w="55" w:type="dxa"/>
              <w:end w:w="9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eastAsia="Tahoma"/>
                <w:b w:val="0"/>
                <w:i w:val="0"/>
                <w:color w:val="1F2937"/>
                <w:sz w:val="17"/>
              </w:rPr>
            </w:r>
            <w:r>
              <w:rPr>
                <w:rFonts w:ascii="Tahoma" w:hAnsi="Tahoma" w:eastAsia="Tahoma"/>
                <w:b w:val="0"/>
                <w:i w:val="0"/>
                <w:color w:val="1F2937"/>
                <w:sz w:val="17"/>
              </w:rPr>
              <w:t>Ad / Name: ____________________   Görev / Function: ____________________</w:t>
              <w:br/>
              <w:t>İmza / Signature: _______________________________</w:t>
            </w:r>
          </w:p>
        </w:tc>
      </w:tr>
      <w:tr>
        <w:trPr>
          <w:cantSplit/>
        </w:trPr>
        <w:tc>
          <w:tcPr>
            <w:tcW w:type="dxa" w:w="3515"/>
            <w:vAlign w:val="center"/>
            <w:tcMar>
              <w:top w:w="55" w:type="dxa"/>
              <w:start w:w="90" w:type="dxa"/>
              <w:bottom w:w="55" w:type="dxa"/>
              <w:end w:w="90" w:type="dxa"/>
            </w:tcMar>
            <w:tcBorders>
              <w:top w:val="single" w:sz="4" w:color="AAB7C4"/>
              <w:left w:val="single" w:sz="4" w:color="AAB7C4"/>
              <w:bottom w:val="single" w:sz="4" w:color="AAB7C4"/>
              <w:right w:val="single" w:sz="4" w:color="AAB7C4"/>
              <w:insideH w:val="single" w:sz="4" w:color="AAB7C4"/>
              <w:insideV w:val="single" w:sz="4" w:color="AAB7C4"/>
            </w:tcBorders>
            <w:shd w:fill="EAF2F8"/>
          </w:tcPr>
          <w:p>
            <w:pPr>
              <w:spacing w:before="0" w:after="0" w:line="240" w:lineRule="auto"/>
            </w:pPr>
            <w:r>
              <w:rPr>
                <w:rFonts w:ascii="Tahoma" w:hAnsi="Tahoma" w:eastAsia="Tahoma"/>
                <w:b w:val="0"/>
                <w:i w:val="0"/>
                <w:color w:val="1F2937"/>
                <w:sz w:val="17"/>
              </w:rPr>
            </w:r>
            <w:r>
              <w:rPr>
                <w:rFonts w:ascii="Tahoma" w:hAnsi="Tahoma" w:eastAsia="Tahoma"/>
                <w:b/>
                <w:i w:val="0"/>
                <w:color w:val="17365D"/>
                <w:sz w:val="17"/>
              </w:rPr>
              <w:t>Adına ve hesabına</w:t>
            </w:r>
            <w:r>
              <w:rPr>
                <w:rFonts w:ascii="Tahoma" w:hAnsi="Tahoma" w:eastAsia="Tahoma"/>
                <w:b w:val="0"/>
                <w:i/>
                <w:color w:val="666666"/>
                <w:sz w:val="17"/>
              </w:rPr>
              <w:br/>
              <w:t>Signed for and on behalf of</w:t>
            </w:r>
          </w:p>
        </w:tc>
        <w:tc>
          <w:tcPr>
            <w:tcW w:type="dxa" w:w="6804"/>
            <w:vAlign w:val="center"/>
            <w:tcMar>
              <w:top w:w="55" w:type="dxa"/>
              <w:start w:w="90" w:type="dxa"/>
              <w:bottom w:w="55" w:type="dxa"/>
              <w:end w:w="9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eastAsia="Tahoma"/>
                <w:b w:val="0"/>
                <w:i w:val="0"/>
                <w:color w:val="1F2937"/>
                <w:sz w:val="17"/>
              </w:rPr>
            </w:r>
            <w:r>
              <w:rPr>
                <w:rFonts w:ascii="Tahoma" w:hAnsi="Tahoma" w:eastAsia="Tahoma"/>
                <w:b w:val="0"/>
                <w:i w:val="0"/>
                <w:color w:val="1F2937"/>
                <w:sz w:val="17"/>
              </w:rPr>
              <w:t>İnci Akü Sanayi ve Ticaret A.Ş.</w:t>
            </w:r>
          </w:p>
        </w:tc>
      </w:tr>
    </w:tbl>
    <w:sectPr>
      <w:headerReference w:type="default" r:id="rId2"/>
      <w:footerReference w:type="default" r:id="rId3"/>
      <w:type w:val="nextPage"/>
      <w:pgSz w:w="11906" w:h="16838"/>
      <w:pgMar w:left="822" w:right="822" w:gutter="0" w:header="850" w:top="1729" w:footer="283" w:bottom="150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Symbol">
    <w:charset w:val="02"/>
    <w:family w:val="decorative"/>
    <w:pitch w:val="variable"/>
  </w:font>
  <w:font w:name="Courier New">
    <w:charset w:val="00"/>
    <w:family w:val="modern"/>
    <w:pitch w:val="default"/>
  </w:font>
  <w:font w:name="Wingdings">
    <w:charset w:val="00"/>
    <w:family w:val="decorative"/>
    <w:pitch w:val="variable"/>
  </w:font>
  <w:font w:name="Tahoma">
    <w:charset w:val="00"/>
    <w:family w:val="swiss"/>
    <w:pitch w:val="variable"/>
  </w:font>
  <w:font w:name="Liberation Sans">
    <w:altName w:val="Arial"/>
    <w:charset w:val="00"/>
    <w:family w:val="swiss"/>
    <w:pitch w:val="variable"/>
  </w:font>
  <w:font w:name="Helvetica">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ind w:left="-426" w:right="-568"/>
      <w:rPr/>
    </w:pPr>
    <w:r>
      <w:rPr>
        <w:rFonts w:cs="Helvetica" w:ascii="Helvetica" w:hAnsi="Helvetica"/>
        <w:b/>
        <w:color w:val="595959"/>
        <w:sz w:val="14"/>
        <w:szCs w:val="14"/>
        <w:lang w:val="en-US" w:eastAsia="en-US"/>
      </w:rPr>
      <w:drawing>
        <wp:inline distT="0" distB="0" distL="0" distR="0">
          <wp:extent cx="665480" cy="442595"/>
          <wp:effectExtent l="0" t="0" r="0" b="0"/>
          <wp:docPr id="2" name="Resim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descr=""/>
                  <pic:cNvPicPr>
                    <a:picLocks noChangeAspect="1" noChangeArrowheads="1"/>
                  </pic:cNvPicPr>
                </pic:nvPicPr>
                <pic:blipFill>
                  <a:blip r:embed="rId1"/>
                  <a:srcRect l="-12" t="-18" r="-12" b="-18"/>
                  <a:stretch>
                    <a:fillRect/>
                  </a:stretch>
                </pic:blipFill>
                <pic:spPr bwMode="auto">
                  <a:xfrm>
                    <a:off x="0" y="0"/>
                    <a:ext cx="665480" cy="442595"/>
                  </a:xfrm>
                  <a:prstGeom prst="rect">
                    <a:avLst/>
                  </a:prstGeom>
                  <a:noFill/>
                </pic:spPr>
              </pic:pic>
            </a:graphicData>
          </a:graphic>
        </wp:inline>
      </w:drawing>
    </w:r>
    <w:r>
      <w:rPr>
        <w:rFonts w:cs="Helvetica" w:ascii="Helvetica" w:hAnsi="Helvetica"/>
        <w:b/>
        <w:bCs/>
        <w:color w:val="595959"/>
        <w:sz w:val="14"/>
        <w:szCs w:val="14"/>
      </w:rPr>
      <w:tab/>
      <w:tab/>
      <w:tab/>
      <w:tab/>
      <w:tab/>
      <w:t xml:space="preserve"> </w:t>
      <w:tab/>
      <w:tab/>
      <w:t xml:space="preserve"> </w:t>
      <w:tab/>
      <w:t xml:space="preserve">                                 </w:t>
    </w:r>
    <w:r>
      <w:rPr>
        <w:rFonts w:cs="Helvetica" w:ascii="Helvetica" w:hAnsi="Helvetica"/>
        <w:b/>
        <w:color w:val="595959"/>
        <w:sz w:val="14"/>
        <w:szCs w:val="14"/>
        <w:lang w:val="en-US" w:eastAsia="en-US"/>
      </w:rPr>
      <w:drawing>
        <wp:inline distT="0" distB="0" distL="0" distR="0">
          <wp:extent cx="2232025" cy="664845"/>
          <wp:effectExtent l="0" t="0" r="0" b="0"/>
          <wp:docPr id="3" name="Resi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1" descr=""/>
                  <pic:cNvPicPr>
                    <a:picLocks noChangeAspect="1" noChangeArrowheads="1"/>
                  </pic:cNvPicPr>
                </pic:nvPicPr>
                <pic:blipFill>
                  <a:blip r:embed="rId2"/>
                  <a:srcRect l="-16" t="-54" r="-16" b="-54"/>
                  <a:stretch>
                    <a:fillRect/>
                  </a:stretch>
                </pic:blipFill>
                <pic:spPr bwMode="auto">
                  <a:xfrm>
                    <a:off x="0" y="0"/>
                    <a:ext cx="2232025" cy="664845"/>
                  </a:xfrm>
                  <a:prstGeom prst="rect">
                    <a:avLst/>
                  </a:prstGeom>
                  <a:noFill/>
                </pic:spPr>
              </pic:pic>
            </a:graphicData>
          </a:graphic>
        </wp:inline>
      </w:drawing>
    </w:r>
    <w:r>
      <w:rPr>
        <w:rFonts w:cs="Helvetica" w:ascii="Helvetica" w:hAnsi="Helvetica"/>
        <w:b/>
        <w:bCs/>
        <w:color w:val="595959"/>
        <w:sz w:val="14"/>
        <w:szCs w:val="14"/>
      </w:rPr>
      <w:tab/>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026"/>
        <w:tab w:val="center" w:pos="4513" w:leader="none"/>
        <w:tab w:val="right" w:pos="10206" w:leader="none"/>
      </w:tabs>
      <w:jc w:val="right"/>
      <w:rPr>
        <w:lang w:val="en-US" w:eastAsia="en-US"/>
      </w:rPr>
    </w:pPr>
    <w:r>
      <w:rPr>
        <w:lang w:val="en-US" w:eastAsia="en-US"/>
      </w:rPr>
      <w:drawing>
        <wp:inline distT="0" distB="0" distL="0" distR="0">
          <wp:extent cx="1636395" cy="55499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5" t="-16" r="-5" b="-16"/>
                  <a:stretch>
                    <a:fillRect/>
                  </a:stretch>
                </pic:blipFill>
                <pic:spPr bwMode="auto">
                  <a:xfrm>
                    <a:off x="0" y="0"/>
                    <a:ext cx="1636395" cy="554990"/>
                  </a:xfrm>
                  <a:prstGeom prst="rect">
                    <a:avLst/>
                  </a:prstGeom>
                  <a:noFill/>
                </pic:spPr>
              </pic:pic>
            </a:graphicData>
          </a:graphic>
        </wp:inline>
      </w:drawing>
    </w:r>
  </w:p>
</w:hdr>
</file>

<file path=word/settings.xml><?xml version="1.0" encoding="utf-8"?>
<w:settings xmlns:w="http://schemas.openxmlformats.org/wordprocessingml/2006/main">
  <w:zoom w:percent="91"/>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9" w:before="0" w:after="80"/>
    </w:pPr>
    <w:rPr>
      <w:rFonts w:ascii="Tahoma" w:hAnsi="Tahoma" w:eastAsia="Tahoma" w:cs="Times New Roman"/>
      <w:color w:val="auto"/>
      <w:sz w:val="20"/>
      <w:szCs w:val="22"/>
      <w:lang w:val="tr-TR" w:bidi="ar-SA" w:eastAsia="zh-CN"/>
    </w:rPr>
  </w:style>
  <w:style w:type="character" w:styleId="WW8Num1z0">
    <w:name w:val="WW8Num1z0"/>
    <w:qFormat/>
    <w:rPr>
      <w:rFonts w:ascii="Tahoma" w:hAnsi="Tahoma" w:cs="Symbol" w:eastAsia="Tahoma"/>
    </w:rPr>
  </w:style>
  <w:style w:type="character" w:styleId="WW8Num1z1">
    <w:name w:val="WW8Num1z1"/>
    <w:qFormat/>
    <w:rPr>
      <w:rFonts w:ascii="Tahoma" w:hAnsi="Tahoma" w:cs="Courier New" w:eastAsia="Tahoma"/>
    </w:rPr>
  </w:style>
  <w:style w:type="character" w:styleId="WW8Num1z2">
    <w:name w:val="WW8Num1z2"/>
    <w:qFormat/>
    <w:rPr>
      <w:rFonts w:ascii="Tahoma" w:hAnsi="Tahoma" w:cs="Wingdings" w:eastAsia="Tahoma"/>
    </w:rPr>
  </w:style>
  <w:style w:type="character" w:styleId="VarsaylanParagrafYazTipi">
    <w:name w:val="Varsayılan Paragraf Yazı Tipi"/>
    <w:qFormat/>
    <w:rPr>
      <w:rFonts w:ascii="Tahoma" w:hAnsi="Tahoma" w:eastAsia="Tahoma"/>
    </w:rPr>
  </w:style>
  <w:style w:type="character" w:styleId="stbilgiChar">
    <w:name w:val="Üstbilgi Char"/>
    <w:qFormat/>
    <w:rPr>
      <w:rFonts w:cs="Times New Roman" w:ascii="Tahoma" w:hAnsi="Tahoma" w:eastAsia="Tahoma"/>
    </w:rPr>
  </w:style>
  <w:style w:type="character" w:styleId="AltbilgiChar">
    <w:name w:val="Altbilgi Char"/>
    <w:qFormat/>
    <w:rPr>
      <w:rFonts w:cs="Times New Roman" w:ascii="Tahoma" w:hAnsi="Tahoma" w:eastAsia="Tahoma"/>
    </w:rPr>
  </w:style>
  <w:style w:type="character" w:styleId="BalonMetniChar">
    <w:name w:val="Balon Metni Char"/>
    <w:qFormat/>
    <w:rPr>
      <w:rFonts w:ascii="Tahoma" w:hAnsi="Tahoma" w:cs="Tahoma" w:eastAsia="Tahoma"/>
      <w:sz w:val="16"/>
    </w:rPr>
  </w:style>
  <w:style w:type="character" w:styleId="Hyperlink">
    <w:name w:val="Hyperlink"/>
    <w:rPr>
      <w:rFonts w:ascii="Tahoma" w:hAnsi="Tahoma" w:eastAsia="Tahoma"/>
      <w:color w:val="0000FF"/>
      <w:u w:val="single"/>
    </w:rPr>
  </w:style>
  <w:style w:type="paragraph" w:styleId="Heading">
    <w:name w:val="Heading"/>
    <w:basedOn w:val="Normal"/>
    <w:next w:val="BodyText"/>
    <w:qFormat/>
    <w:pPr>
      <w:keepNext w:val="true"/>
      <w:spacing w:before="240" w:after="120"/>
    </w:pPr>
    <w:rPr>
      <w:rFonts w:ascii="Tahoma" w:hAnsi="Tahoma" w:eastAsia="Tahoma" w:cs="Lohit Devanagari"/>
      <w:sz w:val="28"/>
      <w:szCs w:val="28"/>
    </w:rPr>
  </w:style>
  <w:style w:type="paragraph" w:styleId="BodyText">
    <w:name w:val="Body Text"/>
    <w:basedOn w:val="Normal"/>
    <w:pPr>
      <w:spacing w:lineRule="auto" w:line="276" w:before="0" w:after="140"/>
    </w:pPr>
    <w:rPr>
      <w:rFonts w:ascii="Tahoma" w:hAnsi="Tahoma" w:eastAsia="Tahoma"/>
    </w:rPr>
  </w:style>
  <w:style w:type="paragraph" w:styleId="List">
    <w:name w:val="List"/>
    <w:basedOn w:val="BodyText"/>
    <w:pPr/>
    <w:rPr>
      <w:rFonts w:cs="Lohit Devanagari" w:ascii="Tahoma" w:hAnsi="Tahoma" w:eastAsia="Tahoma"/>
    </w:rPr>
  </w:style>
  <w:style w:type="paragraph" w:styleId="Caption">
    <w:name w:val="caption"/>
    <w:basedOn w:val="Normal"/>
    <w:qFormat/>
    <w:pPr>
      <w:suppressLineNumbers/>
      <w:spacing w:before="120" w:after="120"/>
    </w:pPr>
    <w:rPr>
      <w:rFonts w:cs="Lohit Devanagari" w:ascii="Tahoma" w:hAnsi="Tahoma" w:eastAsia="Tahoma"/>
      <w:i/>
      <w:iCs/>
      <w:sz w:val="24"/>
      <w:szCs w:val="24"/>
    </w:rPr>
  </w:style>
  <w:style w:type="paragraph" w:styleId="Index">
    <w:name w:val="Index"/>
    <w:basedOn w:val="Normal"/>
    <w:qFormat/>
    <w:pPr>
      <w:suppressLineNumbers/>
    </w:pPr>
    <w:rPr>
      <w:rFonts w:cs="Lohit Devanagari" w:ascii="Tahoma" w:hAnsi="Tahoma" w:eastAsia="Tahoma"/>
    </w:rPr>
  </w:style>
  <w:style w:type="paragraph" w:styleId="HeaderandFooter">
    <w:name w:val="Header and Footer"/>
    <w:basedOn w:val="Normal"/>
    <w:qFormat/>
    <w:pPr>
      <w:suppressLineNumbers/>
      <w:tabs>
        <w:tab w:val="clear" w:pos="708"/>
        <w:tab w:val="center" w:pos="4819" w:leader="none"/>
        <w:tab w:val="right" w:pos="9638" w:leader="none"/>
      </w:tabs>
    </w:pPr>
    <w:rPr>
      <w:rFonts w:ascii="Tahoma" w:hAnsi="Tahoma" w:eastAsia="Tahoma"/>
    </w:rPr>
  </w:style>
  <w:style w:type="paragraph" w:styleId="Header">
    <w:name w:val="header"/>
    <w:basedOn w:val="Normal"/>
    <w:pPr>
      <w:tabs>
        <w:tab w:val="clear" w:pos="708"/>
        <w:tab w:val="center" w:pos="4513" w:leader="none"/>
        <w:tab w:val="right" w:pos="9026" w:leader="none"/>
      </w:tabs>
      <w:spacing w:lineRule="auto" w:line="240" w:before="0" w:after="0"/>
    </w:pPr>
    <w:rPr>
      <w:rFonts w:ascii="Tahoma" w:hAnsi="Tahoma" w:eastAsia="Tahoma"/>
      <w:sz w:val="20"/>
      <w:szCs w:val="20"/>
      <w:lang w:val="en-US"/>
    </w:rPr>
  </w:style>
  <w:style w:type="paragraph" w:styleId="Footer">
    <w:name w:val="footer"/>
    <w:basedOn w:val="Normal"/>
    <w:pPr>
      <w:tabs>
        <w:tab w:val="clear" w:pos="708"/>
        <w:tab w:val="center" w:pos="4513" w:leader="none"/>
        <w:tab w:val="right" w:pos="9026" w:leader="none"/>
      </w:tabs>
      <w:spacing w:lineRule="auto" w:line="240" w:before="0" w:after="0"/>
    </w:pPr>
    <w:rPr>
      <w:rFonts w:ascii="Tahoma" w:hAnsi="Tahoma" w:eastAsia="Tahoma"/>
      <w:sz w:val="20"/>
      <w:szCs w:val="20"/>
      <w:lang w:val="en-US"/>
    </w:rPr>
  </w:style>
  <w:style w:type="paragraph" w:styleId="BalonMetni">
    <w:name w:val="Balon Metni"/>
    <w:basedOn w:val="Normal"/>
    <w:qFormat/>
    <w:pPr>
      <w:spacing w:lineRule="auto" w:line="240" w:before="0" w:after="0"/>
    </w:pPr>
    <w:rPr>
      <w:rFonts w:ascii="Tahoma" w:hAnsi="Tahoma" w:cs="Tahoma" w:eastAsia="Tahoma"/>
      <w:sz w:val="16"/>
      <w:szCs w:val="20"/>
      <w:lang w:val="en-US"/>
    </w:rPr>
  </w:style>
  <w:style w:type="numbering" w:styleId="WW8Num1">
    <w:name w:val="WW8Num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C:\Program Files\SAP\FrontEnd\sapgui\wwi\wwidispl.dot</Template>
  <TotalTime>12</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2026-06-12T11:25:00Z</dcterms:created>
  <dc:creator>İnci Akü Sanayi ve Ticaret A.Ş.</dc:creator>
  <dc:description/>
  <cp:keywords/>
  <dc:language>en-US</dc:language>
  <cp:lastModifiedBy>İnci Akü Sanayi ve Ticaret A.Ş.</cp:lastModifiedBy>
  <cp:lastPrinted>2015-10-08T11:53:00Z</cp:lastPrinted>
  <dcterms:modified xsi:type="dcterms:W3CDTF">2026-06-16T17:29:00Z</dcterms:modified>
  <cp:revision>7</cp:revision>
  <dc:subject/>
  <dc:title/>
</cp:coreProperties>
</file>