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pacing w:before="0" w:after="40" w:line="259" w:lineRule="auto"/>
      </w:pPr>
      <w:r>
        <w:rPr>
          <w:rFonts w:ascii="Tahoma" w:hAnsi="Tahoma" w:eastAsia="Tahoma"/>
          <w:b/>
          <w:i w:val="0"/>
          <w:color w:val="17365D"/>
          <w:sz w:val="32"/>
        </w:rPr>
        <w:t>PPWR AMBALAJ KİMLİKLENDİRME ETİKETİ</w:t>
      </w:r>
      <w:r>
        <w:rPr>
          <w:rFonts w:ascii="Tahoma" w:hAnsi="Tahoma" w:eastAsia="Tahoma"/>
          <w:b/>
          <w:i/>
          <w:color w:val="0B6FA4"/>
          <w:sz w:val="25"/>
        </w:rPr>
        <w:br/>
        <w:t>PPWR PACKAGING IDENTIFICATION LABEL</w:t>
      </w:r>
      <w:r>
        <w:rPr>
          <w:rFonts w:ascii="Tahoma" w:hAnsi="Tahoma" w:eastAsia="Tahoma"/>
          <w:b w:val="0"/>
          <w:i w:val="0"/>
          <w:color w:val="666666"/>
          <w:sz w:val="18"/>
        </w:rPr>
        <w:br/>
        <w:t>Controlled packaging identification • Rev.00</w:t>
      </w:r>
    </w:p>
    <w:p>
      <w:pPr>
        <w:spacing w:before="0" w:after="160" w:line="259" w:lineRule="auto"/>
        <w:pBdr>
          <w:bottom w:val="single" w:sz="12" w:space="3" w:color="F4C300"/>
        </w:pBdr>
      </w:pPr>
      <w:r>
        <w:rPr>
          <w:rFonts w:ascii="Tahoma" w:hAnsi="Tahoma" w:eastAsia="Tahoma"/>
          <w:b w:val="0"/>
          <w:i w:val="0"/>
          <w:color w:val="666666"/>
          <w:sz w:val="18"/>
        </w:rPr>
        <w:t>IA-PPWR-LBL-ST-012-EUR-01-R00  •  Rev.00  •  08.08.2026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Ambalaj Tanımlama Numarası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Packaging Identification No.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ST-012-EUR-01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Konfigürasyon Kimliği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Configuration ID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IA-ST-012-EUR-01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Ambalaj açıklaması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Packaging description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Starter 12’li - Euro Palet 800×1200×152 mm - Varyant 01</w:t>
            </w:r>
            <w:r>
              <w:rPr>
                <w:rFonts w:ascii="Tahoma" w:hAnsi="Tahoma"/>
                <w:i/>
                <w:color w:val="666666"/>
                <w:sz w:val="17"/>
              </w:rPr>
              <w:br/>
              <w:t>Starter 12-unit - Euro Pallet 800×1200×152 mm - Variant 01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sz w:val="17"/>
              </w:rPr>
            </w:r>
            <w:r>
              <w:rPr>
                <w:rFonts w:ascii="Tahoma" w:hAnsi="Tahoma"/>
                <w:b/>
                <w:color w:val="17365D"/>
                <w:sz w:val="17"/>
              </w:rPr>
              <w:t>Ayırt edici özellik</w:t>
            </w:r>
            <w:r>
              <w:rPr>
                <w:rFonts w:ascii="Tahoma" w:hAnsi="Tahoma"/>
                <w:i/>
                <w:color w:val="666666"/>
                <w:sz w:val="17"/>
              </w:rPr>
              <w:br/>
              <w:t>Variant basis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C | Palet (4000038): 1 adet | Köşebent (4000590): 4 adet</w:t>
            </w:r>
            <w:r>
              <w:rPr>
                <w:rFonts w:ascii="Tahoma" w:hAnsi="Tahoma"/>
                <w:i/>
                <w:color w:val="666666"/>
                <w:sz w:val="17"/>
              </w:rPr>
              <w:br/>
              <w:t>C | Pallet (4000038): 1 pc | Edge protector (4000590): 4 pcs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Üretici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Manufacturer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İnci Akü Sanayi ve Ticaret A.Ş.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Adres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Address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Manisa OSB 2. Kısım Keçiliköy OSB Mh., Gaziler Cad. No:6, 45030 Yunusemre-Manisa / Türkiye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Telefon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Telephone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+90 236 233 25 10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E-posta / web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E-mail / web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info@inciaku.com / www.inciaku.com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Malzeme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Material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Çok malzemeli taşıma ambalajı: çember/bağlama; ahşap; plastik/polimer; kâğıt/karton</w:t>
            </w:r>
            <w:r>
              <w:rPr>
                <w:rFonts w:ascii="Tahoma" w:hAnsi="Tahoma"/>
                <w:i/>
                <w:color w:val="666666"/>
                <w:sz w:val="17"/>
              </w:rPr>
              <w:br/>
              <w:t>Multi-material transport packaging: strap/securing; wood; plastic/polymer; paper/cardboard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AB Uygunluk Beyanı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EU Declaration of Conformity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IA-PPWR-DOC-ST-012-EUR-01-R00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Teknik Dosya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Technical File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IA-PPWR-TF-ST-012-EUR-01-R00</w:t>
            </w:r>
          </w:p>
        </w:tc>
      </w:tr>
    </w:tbl>
    <w:p>
      <w:pPr>
        <w:spacing w:after="120" w:line="24" w:lineRule="auto"/>
      </w:pPr>
      <w:r>
        <w:rPr>
          <w:rFonts w:ascii="Tahoma" w:hAnsi="Tahoma" w:eastAsia="Tahoma"/>
          <w:b w:val="0"/>
          <w:i w:val="0"/>
          <w:color w:val="FFFFFF"/>
          <w:sz w:val="2"/>
        </w:rPr>
        <w:t xml:space="preserve"> </w:t>
      </w:r>
    </w:p>
    <w:p>
      <w:pPr>
        <w:keepNext/>
        <w:spacing w:before="100" w:after="80" w:line="259" w:lineRule="auto"/>
      </w:pPr>
      <w:r>
        <w:rPr>
          <w:rFonts w:ascii="Tahoma" w:hAnsi="Tahoma" w:eastAsia="Tahoma"/>
          <w:b/>
          <w:i w:val="0"/>
          <w:color w:val="17365D"/>
          <w:sz w:val="22"/>
        </w:rPr>
        <w:t>İZLENEBİLİRLİK / SEVKİYAT ALANLARI</w:t>
      </w:r>
      <w:r>
        <w:rPr>
          <w:rFonts w:ascii="Tahoma" w:hAnsi="Tahoma" w:eastAsia="Tahoma"/>
          <w:b w:val="0"/>
          <w:i/>
          <w:color w:val="666666"/>
          <w:sz w:val="19"/>
        </w:rPr>
        <w:t xml:space="preserve"> / TRACEABILITY / SHIPMENT FIELDS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cantSplit/>
          <w:tblHeader w:val="true"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Ambalaj / paketleme lotu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Packaging / packing lot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Paketleme tarihi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Packing date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Sevkiyat referansı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Shipment reference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9"/>
              </w:rPr>
              <w:t>________________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9"/>
              </w:rPr>
              <w:t>________________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9"/>
              </w:rPr>
              <w:t>________________</w:t>
            </w:r>
          </w:p>
        </w:tc>
      </w:tr>
    </w:tbl>
    <w:p>
      <w:pPr>
        <w:spacing w:after="120" w:line="24" w:lineRule="auto"/>
      </w:pPr>
      <w:r>
        <w:rPr>
          <w:rFonts w:ascii="Tahoma" w:hAnsi="Tahoma" w:eastAsia="Tahoma"/>
          <w:b w:val="0"/>
          <w:i w:val="0"/>
          <w:color w:val="FFFFFF"/>
          <w:sz w:val="2"/>
        </w:rPr>
        <w:t xml:space="preserve"> </w:t>
      </w:r>
    </w:p>
    <w:p>
      <w:pPr>
        <w:spacing w:before="0" w:after="80" w:line="259" w:lineRule="auto"/>
      </w:pPr>
      <w:r>
        <w:rPr>
          <w:rFonts w:ascii="Tahoma" w:hAnsi="Tahoma" w:eastAsia="Tahoma"/>
          <w:b w:val="0"/>
          <w:i w:val="0"/>
          <w:color w:val="1F2937"/>
          <w:sz w:val="18"/>
        </w:rPr>
        <w:t>Kullanım notu: Bu etiket ambalaj konfigürasyonunun kimliğini ve üretici bilgisini gösterir. ADR/IMDG ve ürün güvenliği işaretlerinin yerine geçmez.</w:t>
      </w:r>
      <w:r>
        <w:rPr>
          <w:rFonts w:ascii="Tahoma" w:hAnsi="Tahoma" w:eastAsia="Tahoma"/>
          <w:b w:val="0"/>
          <w:i/>
          <w:color w:val="666666"/>
          <w:sz w:val="18"/>
        </w:rPr>
        <w:br/>
        <w:t>Use note: This label identifies the packaging configuration and manufacturer information. It does not replace ADR/IMDG or product-safety markings.</w:t>
      </w:r>
    </w:p>
    <w:sectPr>
      <w:headerReference w:type="default" r:id="rId2"/>
      <w:footerReference w:type="default" r:id="rId3"/>
      <w:type w:val="nextPage"/>
      <w:pgSz w:w="11906" w:h="16838"/>
      <w:pgMar w:left="822" w:right="822" w:gutter="0" w:header="850" w:top="1729" w:footer="283" w:bottom="150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Symbol">
    <w:charset w:val="02"/>
    <w:family w:val="decorative"/>
    <w:pitch w:val="variable"/>
  </w:font>
  <w:font w:name="Courier New">
    <w:charset w:val="00"/>
    <w:family w:val="modern"/>
    <w:pitch w:val="default"/>
  </w:font>
  <w:font w:name="Wingdings">
    <w:charset w:val="00"/>
    <w:family w:val="decorative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Helvetica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200"/>
      <w:ind w:left="-426" w:right="-568"/>
      <w:rPr/>
    </w:pPr>
    <w:r>
      <w:rPr>
        <w:rFonts w:cs="Helvetica" w:ascii="Helvetica" w:hAnsi="Helvetica"/>
        <w:b/>
        <w:color w:val="595959"/>
        <w:sz w:val="14"/>
        <w:szCs w:val="14"/>
        <w:lang w:val="en-US" w:eastAsia="en-US"/>
      </w:rPr>
      <w:drawing>
        <wp:inline distT="0" distB="0" distL="0" distR="0">
          <wp:extent cx="665480" cy="442595"/>
          <wp:effectExtent l="0" t="0" r="0" b="0"/>
          <wp:docPr id="2" name="Resim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esim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" t="-18" r="-12" b="-18"/>
                  <a:stretch>
                    <a:fillRect/>
                  </a:stretch>
                </pic:blipFill>
                <pic:spPr bwMode="auto">
                  <a:xfrm>
                    <a:off x="0" y="0"/>
                    <a:ext cx="665480" cy="442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cs="Helvetica" w:ascii="Helvetica" w:hAnsi="Helvetica"/>
        <w:b/>
        <w:bCs/>
        <w:color w:val="595959"/>
        <w:sz w:val="14"/>
        <w:szCs w:val="14"/>
      </w:rPr>
      <w:tab/>
      <w:tab/>
      <w:tab/>
      <w:tab/>
      <w:tab/>
      <w:t xml:space="preserve"> </w:t>
      <w:tab/>
      <w:tab/>
      <w:t xml:space="preserve"> </w:t>
      <w:tab/>
      <w:t xml:space="preserve">                                 </w:t>
    </w:r>
    <w:r>
      <w:rPr>
        <w:rFonts w:cs="Helvetica" w:ascii="Helvetica" w:hAnsi="Helvetica"/>
        <w:b/>
        <w:color w:val="595959"/>
        <w:sz w:val="14"/>
        <w:szCs w:val="14"/>
        <w:lang w:val="en-US" w:eastAsia="en-US"/>
      </w:rPr>
      <w:drawing>
        <wp:inline distT="0" distB="0" distL="0" distR="0">
          <wp:extent cx="2232025" cy="664845"/>
          <wp:effectExtent l="0" t="0" r="0" b="0"/>
          <wp:docPr id="3" name="Resi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Resim 1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16" t="-54" r="-16" b="-54"/>
                  <a:stretch>
                    <a:fillRect/>
                  </a:stretch>
                </pic:blipFill>
                <pic:spPr bwMode="auto">
                  <a:xfrm>
                    <a:off x="0" y="0"/>
                    <a:ext cx="2232025" cy="664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cs="Helvetica" w:ascii="Helvetica" w:hAnsi="Helvetica"/>
        <w:b/>
        <w:bCs/>
        <w:color w:val="595959"/>
        <w:sz w:val="14"/>
        <w:szCs w:val="14"/>
      </w:rPr>
      <w:tab/>
      <w:t xml:space="preserve">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9026"/>
        <w:tab w:val="center" w:pos="4513" w:leader="none"/>
        <w:tab w:val="right" w:pos="10206" w:leader="none"/>
      </w:tabs>
      <w:jc w:val="right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1636395" cy="554990"/>
          <wp:effectExtent l="0" t="0" r="0" b="0"/>
          <wp:docPr id="1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16" r="-5" b="-16"/>
                  <a:stretch>
                    <a:fillRect/>
                  </a:stretch>
                </pic:blipFill>
                <pic:spPr bwMode="auto">
                  <a:xfrm>
                    <a:off x="0" y="0"/>
                    <a:ext cx="1636395" cy="55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91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80"/>
    </w:pPr>
    <w:rPr>
      <w:rFonts w:ascii="Tahoma" w:hAnsi="Tahoma" w:eastAsia="Tahoma" w:cs="Times New Roman"/>
      <w:color w:val="auto"/>
      <w:sz w:val="20"/>
      <w:szCs w:val="22"/>
      <w:lang w:val="tr-TR" w:bidi="ar-SA" w:eastAsia="zh-CN"/>
    </w:rPr>
  </w:style>
  <w:style w:type="character" w:styleId="WW8Num1z0">
    <w:name w:val="WW8Num1z0"/>
    <w:qFormat/>
    <w:rPr>
      <w:rFonts w:ascii="Tahoma" w:hAnsi="Tahoma" w:cs="Symbol" w:eastAsia="Tahoma"/>
    </w:rPr>
  </w:style>
  <w:style w:type="character" w:styleId="WW8Num1z1">
    <w:name w:val="WW8Num1z1"/>
    <w:qFormat/>
    <w:rPr>
      <w:rFonts w:ascii="Tahoma" w:hAnsi="Tahoma" w:cs="Courier New" w:eastAsia="Tahoma"/>
    </w:rPr>
  </w:style>
  <w:style w:type="character" w:styleId="WW8Num1z2">
    <w:name w:val="WW8Num1z2"/>
    <w:qFormat/>
    <w:rPr>
      <w:rFonts w:ascii="Tahoma" w:hAnsi="Tahoma" w:cs="Wingdings" w:eastAsia="Tahoma"/>
    </w:rPr>
  </w:style>
  <w:style w:type="character" w:styleId="VarsaylanParagrafYazTipi">
    <w:name w:val="Varsayılan Paragraf Yazı Tipi"/>
    <w:qFormat/>
    <w:rPr>
      <w:rFonts w:ascii="Tahoma" w:hAnsi="Tahoma" w:eastAsia="Tahoma"/>
    </w:rPr>
  </w:style>
  <w:style w:type="character" w:styleId="stbilgiChar">
    <w:name w:val="Üstbilgi Char"/>
    <w:qFormat/>
    <w:rPr>
      <w:rFonts w:cs="Times New Roman" w:ascii="Tahoma" w:hAnsi="Tahoma" w:eastAsia="Tahoma"/>
    </w:rPr>
  </w:style>
  <w:style w:type="character" w:styleId="AltbilgiChar">
    <w:name w:val="Altbilgi Char"/>
    <w:qFormat/>
    <w:rPr>
      <w:rFonts w:cs="Times New Roman" w:ascii="Tahoma" w:hAnsi="Tahoma" w:eastAsia="Tahoma"/>
    </w:rPr>
  </w:style>
  <w:style w:type="character" w:styleId="BalonMetniChar">
    <w:name w:val="Balon Metni Char"/>
    <w:qFormat/>
    <w:rPr>
      <w:rFonts w:ascii="Tahoma" w:hAnsi="Tahoma" w:cs="Tahoma" w:eastAsia="Tahoma"/>
      <w:sz w:val="16"/>
    </w:rPr>
  </w:style>
  <w:style w:type="character" w:styleId="Hyperlink">
    <w:name w:val="Hyperlink"/>
    <w:rPr>
      <w:rFonts w:ascii="Tahoma" w:hAnsi="Tahoma" w:eastAsia="Tahoma"/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ahoma" w:hAnsi="Tahoma" w:eastAsia="Tahoma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Tahoma" w:hAnsi="Tahoma" w:eastAsia="Tahoma"/>
    </w:rPr>
  </w:style>
  <w:style w:type="paragraph" w:styleId="List">
    <w:name w:val="List"/>
    <w:basedOn w:val="BodyText"/>
    <w:pPr/>
    <w:rPr>
      <w:rFonts w:cs="Lohit Devanagari" w:ascii="Tahoma" w:hAnsi="Tahoma" w:eastAsia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 w:ascii="Tahoma" w:hAnsi="Tahoma" w:eastAsia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 w:ascii="Tahoma" w:hAnsi="Tahoma" w:eastAsia="Tahoma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>
      <w:rFonts w:ascii="Tahoma" w:hAnsi="Tahoma" w:eastAsia="Tahoma"/>
    </w:rPr>
  </w:style>
  <w:style w:type="paragraph" w:styleId="Header">
    <w:name w:val="header"/>
    <w:basedOn w:val="Normal"/>
    <w:pPr>
      <w:tabs>
        <w:tab w:val="clear" w:pos="708"/>
        <w:tab w:val="center" w:pos="4513" w:leader="none"/>
        <w:tab w:val="right" w:pos="9026" w:leader="none"/>
      </w:tabs>
      <w:spacing w:lineRule="auto" w:line="240" w:before="0" w:after="0"/>
    </w:pPr>
    <w:rPr>
      <w:rFonts w:ascii="Tahoma" w:hAnsi="Tahoma" w:eastAsia="Tahoma"/>
      <w:sz w:val="20"/>
      <w:szCs w:val="20"/>
      <w:lang w:val="en-US"/>
    </w:rPr>
  </w:style>
  <w:style w:type="paragraph" w:styleId="Footer">
    <w:name w:val="footer"/>
    <w:basedOn w:val="Normal"/>
    <w:pPr>
      <w:tabs>
        <w:tab w:val="clear" w:pos="708"/>
        <w:tab w:val="center" w:pos="4513" w:leader="none"/>
        <w:tab w:val="right" w:pos="9026" w:leader="none"/>
      </w:tabs>
      <w:spacing w:lineRule="auto" w:line="240" w:before="0" w:after="0"/>
    </w:pPr>
    <w:rPr>
      <w:rFonts w:ascii="Tahoma" w:hAnsi="Tahoma" w:eastAsia="Tahoma"/>
      <w:sz w:val="20"/>
      <w:szCs w:val="20"/>
      <w:lang w:val="en-US"/>
    </w:rPr>
  </w:style>
  <w:style w:type="paragraph" w:styleId="BalonMetni">
    <w:name w:val="Balon Metni"/>
    <w:basedOn w:val="Normal"/>
    <w:qFormat/>
    <w:pPr>
      <w:spacing w:lineRule="auto" w:line="240" w:before="0" w:after="0"/>
    </w:pPr>
    <w:rPr>
      <w:rFonts w:ascii="Tahoma" w:hAnsi="Tahoma" w:cs="Tahoma" w:eastAsia="Tahoma"/>
      <w:sz w:val="16"/>
      <w:szCs w:val="20"/>
      <w:lang w:val="en-US"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C:\Program Files\SAP\FrontEnd\sapgui\wwi\wwidispl.dot</Template>
  <TotalTime>12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2026-06-12T11:25:00Z</dcterms:created>
  <dc:creator>İnci Akü Sanayi ve Ticaret A.Ş.</dc:creator>
  <dc:description/>
  <cp:keywords/>
  <dc:language>en-US</dc:language>
  <cp:lastModifiedBy>İnci Akü Sanayi ve Ticaret A.Ş.</cp:lastModifiedBy>
  <cp:lastPrinted>2015-10-08T11:53:00Z</cp:lastPrinted>
  <dcterms:modified xsi:type="dcterms:W3CDTF">2026-06-16T17:29:00Z</dcterms:modified>
  <cp:revision>7</cp:revision>
  <dc:subject/>
  <dc:title/>
</cp:coreProperties>
</file>