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40" w:line="259" w:lineRule="auto"/>
      </w:pPr>
      <w:r>
        <w:rPr>
          <w:rFonts w:ascii="Tahoma" w:hAnsi="Tahoma" w:eastAsia="Tahoma"/>
          <w:b/>
          <w:i w:val="0"/>
          <w:color w:val="17365D"/>
          <w:sz w:val="32"/>
        </w:rPr>
        <w:t>PPWR AMBALAJ KONFİGÜRASYONU TEKNİK DOSYASI</w:t>
      </w:r>
      <w:r>
        <w:rPr>
          <w:rFonts w:ascii="Tahoma" w:hAnsi="Tahoma" w:eastAsia="Tahoma"/>
          <w:b/>
          <w:i/>
          <w:color w:val="0B6FA4"/>
          <w:sz w:val="25"/>
        </w:rPr>
        <w:br/>
        <w:t>PPWR PACKAGING CONFIGURATION TECHNICAL FILE</w:t>
      </w:r>
      <w:r>
        <w:rPr>
          <w:rFonts w:ascii="Tahoma" w:hAnsi="Tahoma" w:eastAsia="Tahoma"/>
          <w:b w:val="0"/>
          <w:i w:val="0"/>
          <w:color w:val="666666"/>
          <w:sz w:val="18"/>
        </w:rPr>
        <w:br/>
        <w:t>Regulation (EU) 2025/40 • Annex VII • Module A / Internal Production Control</w:t>
      </w:r>
    </w:p>
    <w:p>
      <w:pPr>
        <w:spacing w:before="0" w:after="160" w:line="259" w:lineRule="auto"/>
        <w:pBdr>
          <w:bottom w:val="single" w:sz="12" w:space="3" w:color="F4C300"/>
        </w:pBdr>
      </w:pPr>
      <w:r>
        <w:rPr>
          <w:rFonts w:ascii="Tahoma" w:hAnsi="Tahoma" w:eastAsia="Tahoma"/>
          <w:b w:val="0"/>
          <w:i w:val="0"/>
          <w:color w:val="666666"/>
          <w:sz w:val="18"/>
        </w:rPr>
        <w:t>{{TF_ID}}  •  Rev.00  •  08.08.2026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Ambalaj Seti Kodu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Set Code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{{CONFIG_SET_CODE}}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Konfigürasyon Kimliği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Configuration ID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{{CONFIG_ID}}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Konfigürasyon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Configuration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{{PACKAGING_DESCRIPTION_TR}}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{{PACKAGING_DESCRIPTION_EN}}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7365D"/>
                <w:sz w:val="17"/>
              </w:rPr>
              <w:t>Ayırt edici özellik</w:t>
            </w:r>
            <w:r>
              <w:rPr>
                <w:rFonts w:ascii="Tahoma" w:hAnsi="Tahoma" w:eastAsia="Tahoma"/>
                <w:i/>
                <w:color w:val="666666"/>
                <w:sz w:val="17"/>
              </w:rPr>
              <w:br/>
              <w:t>Variant basis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{{VARIANT_BASIS_TR}}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{{VARIANT_BASIS_EN}}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Kaynak BOM / Veri Soy Ağacı Kimliği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Source BOM / Data Lineage ID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{{SOURCE_CONFIG_ID}}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Toplam ambalaj darası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Total packaging tare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{{TOTAL_TARE_KG}}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Üretici / Dosya sahibi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Manufacturer / Dossier owner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İnci Akü Sanayi ve Ticaret A.Ş.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Doküman revizyonu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Document revision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Rev.00 / 08.08.2026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01  AMAÇ, KAPSAM VE KULLANIM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01  PURPOSE, SCOPE AND INTENDED USE</w:t>
      </w:r>
    </w:p>
    <w:p>
      <w:pPr>
        <w:spacing w:before="0" w:after="120" w:line="259" w:lineRule="auto"/>
      </w:pPr>
      <w:r>
        <w:rPr>
          <w:rFonts w:ascii="Tahoma" w:hAnsi="Tahoma"/>
          <w:b w:val="0"/>
          <w:color w:val="1F2937"/>
          <w:sz w:val="20"/>
        </w:rPr>
        <w:t>Bu Teknik Dosya, {{CONFIG_SET_CODE}} ambalaj varyantının Regulation (EU) 2025/40 kapsamında Annex VII / Module A iç üretim kontrolü esasına göre tanımlanması, bileşenlerinin ve sabit BOM’unun izlenebilirliği için hazırlanmıştır.</w:t>
      </w:r>
      <w:r>
        <w:rPr>
          <w:rFonts w:ascii="Tahoma" w:hAnsi="Tahoma"/>
          <w:i/>
          <w:color w:val="666666"/>
          <w:sz w:val="20"/>
        </w:rPr>
        <w:br/>
        <w:t>This Technical File defines packaging variant {{CONFIG_SET_CODE}} under the Annex VII / Module A internal-production-control basis of Regulation (EU) 2025/40 and records the traceability of its components and fixed BOM.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Ambalaj seviyesi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level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Taşıma / gruplanmış ambalaj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Transport / grouped packaging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Fonksiyon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Function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Koruma, sabitleme, elleçleme ve taşıma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Protection, stabilisation, handling and transport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Elleçleme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Handling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Paletli mekanik elleçleme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Palletised mechanical handling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Taşıma modu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Transport mode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Karayolu / denizyolu / multimodal - uygulanabildiği ölçüde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Road / sea / multimodal - as applicable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Tehlikeli madde arayüzü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Dangerous-goods interface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ADR/IMDG işaretleri PPWR kimliklendirmesinden ayrı uygulanır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ADR/IMDG markings remain separate from PPWR identification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Tekrar kullanım iddiası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Reuse claim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Kontrollü iade/rotasyon sistemi belgelenmedikçe yapılmaz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No reusable claim unless a controlled return/rotation system is documented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02  ÜRÜN KAPSAMI VE VERİ SOY AĞACI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02  PRODUCT SCOPE AND DATA LINEAGE</w:t>
      </w:r>
    </w:p>
    <w:p>
      <w:pPr>
        <w:spacing w:before="0" w:after="120" w:line="259" w:lineRule="auto"/>
      </w:pPr>
      <w:r>
        <w:rPr>
          <w:rFonts w:ascii="Tahoma" w:hAnsi="Tahoma"/>
          <w:b w:val="0"/>
          <w:color w:val="1F2937"/>
          <w:sz w:val="20"/>
        </w:rPr>
        <w:t>Bu dosya yalnız {{CONFIG_SET_CODE}} sabit BOM varyantını kapsar. Aynı palet/adet ailesindeki farklı BOM’lar ayrı Packaging Set Code ile yönetilir. Bu varyanta bağlı 1 ürün kodu aşağıda müşteri/pazar bilgisi olmadan izlenebilirlik amacıyla listelenmiştir.</w:t>
      </w:r>
      <w:r>
        <w:rPr>
          <w:rFonts w:ascii="Tahoma" w:hAnsi="Tahoma"/>
          <w:i/>
          <w:color w:val="666666"/>
          <w:sz w:val="20"/>
        </w:rPr>
        <w:br/>
        <w:t>This file covers only fixed BOM variant {{CONFIG_SET_CODE}}. Different BOMs within the same pallet/quantity family are controlled under separate Packaging Set Codes. The 1 product codes linked to this variant are listed below for traceability without customer/market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FFFFFF"/>
                <w:sz w:val="16"/>
              </w:rPr>
              <w:t>Kontrollü ürünler</w:t>
            </w:r>
            <w:r>
              <w:rPr>
                <w:rFonts w:ascii="Tahoma" w:hAnsi="Tahoma"/>
                <w:i/>
                <w:color w:val="FFFFFF"/>
                <w:sz w:val="16"/>
              </w:rPr>
              <w:br/>
              <w:t>Controlled products</w:t>
            </w:r>
          </w:p>
        </w:tc>
        <w:tc>
          <w:tcPr>
            <w:tcW w:type="dxa" w:w="82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FFFFFF"/>
                <w:sz w:val="16"/>
              </w:rPr>
              <w:t>Kontrollü ürünler</w:t>
            </w:r>
            <w:r>
              <w:rPr>
                <w:rFonts w:ascii="Tahoma" w:hAnsi="Tahoma"/>
                <w:i/>
                <w:color w:val="FFFFFF"/>
                <w:sz w:val="16"/>
              </w:rPr>
              <w:br/>
              <w:t>Controlled products</w:t>
            </w:r>
          </w:p>
        </w:tc>
      </w:tr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FFFFFF"/>
                <w:sz w:val="16"/>
              </w:rPr>
              <w:t>{{PRODUCT_LINES}}</w:t>
            </w:r>
            <w:r>
              <w:rPr>
                <w:rFonts w:ascii="Tahoma" w:hAnsi="Tahoma"/>
                <w:i/>
                <w:color w:val="FFFFFF"/>
                <w:sz w:val="16"/>
              </w:rPr>
            </w:r>
          </w:p>
        </w:tc>
        <w:tc>
          <w:tcPr>
            <w:tcW w:type="dxa" w:w="827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FFFFFF"/>
                <w:sz w:val="16"/>
              </w:rPr>
              <w:t>—</w:t>
            </w:r>
            <w:r>
              <w:rPr>
                <w:rFonts w:ascii="Tahoma" w:hAnsi="Tahoma"/>
                <w:i/>
                <w:color w:val="FFFFFF"/>
                <w:sz w:val="16"/>
              </w:rPr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Packaging Set Code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Set Code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{{CONFIG_SET_CODE}}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Configuration ID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Configuration ID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{{CONFIG_ID}}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Source BOM ID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Source BOM ID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{{SOURCE_CONFIG_ID}}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Ürün adedi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Product quantity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7"/>
              </w:rPr>
              <w:t>12 adet</w:t>
            </w:r>
            <w:r>
              <w:rPr>
                <w:rFonts w:ascii="Tahoma" w:hAnsi="Tahoma"/>
                <w:i/>
                <w:color w:val="666666"/>
                <w:sz w:val="17"/>
              </w:rPr>
              <w:br/>
              <w:t>12 pcs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DPP veri bağlantısı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DPP data linkage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Ürün kodu → Packaging Set Code → Source BOM → Bileşen/Birim Ağırlık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Product code → Packaging Set Code → Source BOM → Component/Unit Weight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ageBreakBefore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03  SABİT AMBALAJ BOM’U VE KÜTLE DENGESİ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03  FIXED PACKAGING BOM AND MASS BALANCE</w:t>
      </w:r>
    </w:p>
    <w:p>
      <w:pPr>
        <w:spacing w:before="0" w:after="120" w:line="259" w:lineRule="auto"/>
      </w:pPr>
      <w:r>
        <w:rPr>
          <w:rFonts w:ascii="Tahoma" w:hAnsi="Tahoma"/>
          <w:b w:val="0"/>
          <w:color w:val="1F2937"/>
          <w:sz w:val="20"/>
        </w:rPr>
        <w:t>Aşağıdaki BOM bu varyant için sabittir. Uygunluğu etkileyen miktar, malzeme, bileşen veya birim ağırlık değişikliği revizyon değerlendirmesini tetikler.</w:t>
      </w:r>
      <w:r>
        <w:rPr>
          <w:rFonts w:ascii="Tahoma" w:hAnsi="Tahoma"/>
          <w:i/>
          <w:color w:val="666666"/>
          <w:sz w:val="20"/>
        </w:rPr>
        <w:br/>
        <w:t>The BOM below is fixed for this variant. A conformity-relevant change to quantity, material, component or unit weight triggers revision assessment.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</w:tblGrid>
      <w:tr>
        <w:trPr>
          <w:cantSplit/>
          <w:tblHeader w:val="true"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Kod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Code</w:t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Bileşen / Malzeme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Component / Material</w:t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Miktar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Quantity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Birim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UOM</w:t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Birim ağırlık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Unit weight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Satır ağırlığı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Line weight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{{BOM_CODE}}</w:t>
            </w:r>
            <w:r>
              <w:rPr>
                <w:rFonts w:ascii="Tahoma" w:hAnsi="Tahoma"/>
                <w:i/>
                <w:color w:val="666666"/>
                <w:sz w:val="15"/>
              </w:rPr>
            </w:r>
          </w:p>
        </w:tc>
        <w:tc>
          <w:tcPr>
            <w:tcW w:type="dxa" w:w="3969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{{BOM_DESC}}</w:t>
            </w:r>
            <w:r>
              <w:rPr>
                <w:rFonts w:ascii="Tahoma" w:hAnsi="Tahoma"/>
                <w:i/>
                <w:color w:val="666666"/>
                <w:sz w:val="15"/>
              </w:rPr>
            </w:r>
          </w:p>
        </w:tc>
        <w:tc>
          <w:tcPr>
            <w:tcW w:type="dxa" w:w="90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{{BOM_QTY}}</w:t>
            </w:r>
          </w:p>
        </w:tc>
        <w:tc>
          <w:tcPr>
            <w:tcW w:type="dxa" w:w="102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{{BOM_UOM}}</w:t>
            </w:r>
            <w:r>
              <w:rPr>
                <w:rFonts w:ascii="Tahoma" w:hAnsi="Tahoma"/>
                <w:i/>
                <w:color w:val="666666"/>
                <w:sz w:val="15"/>
              </w:rPr>
            </w:r>
          </w:p>
        </w:tc>
        <w:tc>
          <w:tcPr>
            <w:tcW w:type="dxa" w:w="1417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{{BOM_UNIT_WT}}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{{BOM_LINE_WT}}</w:t>
            </w:r>
          </w:p>
        </w:tc>
      </w:tr>
      <w:tr>
        <w:trPr>
          <w:cantSplit/>
        </w:trPr>
        <w:tc>
          <w:tcPr>
            <w:tcW w:type="dxa" w:w="8390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gridSpan w:val="5"/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1F2937"/>
                <w:sz w:val="15"/>
              </w:rPr>
              <w:t>TOPLAM</w:t>
            </w:r>
            <w:r>
              <w:rPr>
                <w:rFonts w:ascii="Tahoma" w:hAnsi="Tahoma"/>
                <w:i/>
                <w:color w:val="666666"/>
                <w:sz w:val="15"/>
              </w:rPr>
              <w:br/>
              <w:t>TOTAL</w:t>
            </w:r>
          </w:p>
        </w:tc>
        <w:tc>
          <w:tcPr>
            <w:tcW w:type="dxa" w:w="1474"/>
            <w:vAlign w:val="center"/>
            <w:tcMar>
              <w:top w:w="28" w:type="dxa"/>
              <w:start w:w="60" w:type="dxa"/>
              <w:bottom w:w="28" w:type="dxa"/>
              <w:end w:w="6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/>
                <w:b/>
                <w:color w:val="1F2937"/>
                <w:sz w:val="15"/>
              </w:rPr>
              <w:t>{{TOTAL_TARE_KG}}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Malzeme ailesi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Material family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Bu varyanttaki örnek bileşenler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Example components in this variant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Kontrol yaklaşımı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Control approach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Ahşap / ahşap esaslı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Wood / wood-based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Palet, OSB, takoz, sabitleme elemanı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Pallet, OSB, securing block / timber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Kod, miktar ve kaynak kayıt bazlı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Controlled by code, quantity and source record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Kâğıt / karton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Paper / cardboard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Koli, separatör, köşebent, etiket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Carton, separator, edge protector, label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BOM ve teknik kanıt bazlı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BOM and technical-evidence basis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Plastikler / polimerler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Plastics / polymers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Streç/shrink film, PVC, EPS, hava yastığı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Stretch/shrink film, PVC, EPS, dunnage bag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BOM ve mevcut teknik kanıt bazlı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BOM and current technical-evidence basis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Çember / bağlama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Strap / securing</w:t>
            </w:r>
          </w:p>
        </w:tc>
        <w:tc>
          <w:tcPr>
            <w:tcW w:type="dxa" w:w="3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Çember, halat, toka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Strap, rope, buckle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Kod, miktar ve teknik kaynak bazlı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Code, quantity and technical-source basis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04  PPWR UYGUNLUK DEĞERLENDİRME ÖZETİ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04  PPWR CONFORMITY ASSESSMENT SUMMARY</w:t>
      </w:r>
    </w:p>
    <w:p>
      <w:pPr>
        <w:spacing w:before="0" w:after="100" w:line="259" w:lineRule="auto"/>
      </w:pPr>
      <w:r>
        <w:rPr>
          <w:rFonts w:ascii="Tahoma" w:hAnsi="Tahoma" w:eastAsia="Tahoma"/>
          <w:b w:val="0"/>
          <w:i w:val="0"/>
          <w:color w:val="1F2937"/>
          <w:sz w:val="20"/>
        </w:rPr>
        <w:t>Değerlendirme, Rev.00 mevcut teknik ve tedarikçi kanıtı esasına göre yürütülür. Desteklenmeyen bileşen-seviyesi sayısal ağır metal / SoC iddiası oluşturulmaz.</w:t>
      </w:r>
      <w:r>
        <w:rPr>
          <w:rFonts w:ascii="Tahoma" w:hAnsi="Tahoma" w:eastAsia="Tahoma"/>
          <w:b w:val="0"/>
          <w:i/>
          <w:color w:val="666666"/>
          <w:sz w:val="20"/>
        </w:rPr>
        <w:br/>
        <w:t>Assessment is performed on the Rev.00 current technical and supplier-evidence basis. No unsupported component-level numerical heavy-metal / SoC claim is made.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Referans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Reference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Konu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Subject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Durum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Status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Değerlendirme / kontrol esası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Assessment / control basis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5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5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Ambalajdaki maddeler / ağır metaller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Substances in packaging / heavy metals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REV00 ARTICLE 5 ASSESSMENT BASIS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Mevcut teknik ve tedarikçi kanıt temeli; yeni kanıt revizyon kontrolüne alınır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Current technical and supplier-evidence basis; new evidence is handled through revision control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6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6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Geri dönüştürülebilirlik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Recyclability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REV.00 TECHNICAL BASIS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Malzeme aileleri ve sökülebilir bileşen yapısı üzerinden nitel değerlendirme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Qualitative assessment based on material families and separable component structure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7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7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Geri dönüştürülmüş içerik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Recycled content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AS APPLICABLE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Plastik ambalaj bileşenlerinde yasal uygulama tarihleri ve kanıt esasına göre yönetilir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Managed for plastic packaging components according to legal application dates and evidence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9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9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Kompostlanabilirlik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Compostability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NOT APPLICABLE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Bu taşıma ambalajı konfigürasyonu için kompostlanabilir ambalaj iddiası yoktur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No compostable-packaging claim is made for this transport-packaging configuration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10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10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Ambalaj minimizasyonu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minimisation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REV.00 TECHNICAL BASIS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Koruma, stabilite ve taşıma işlevi için gerekli sabit BOM esas alınır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Fixed BOM required for protection, stability and transport function is used as the basis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11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11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Tekrar kullanılabilirlik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Reusability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NO REUSE CLAIM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Kontrollü iade/rotasyon sistemi belgelenmedikçe tekrar kullanım iddiası yoktur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No reuse claim unless a controlled return/rotation system is documented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Madde 12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12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Etiketleme / izlenebilirlik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Labelling / traceability</w:t>
            </w:r>
          </w:p>
        </w:tc>
        <w:tc>
          <w:tcPr>
            <w:tcW w:type="dxa" w:w="209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6"/>
              </w:rPr>
              <w:t>CONTROLLED IDENTIFICATION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6"/>
              </w:rPr>
              <w:t>Packaging Set Code, üretici kimliği ve doküman bağlantısı ayrı Label ile yönetilir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Set Code, manufacturer identity and document linkage are controlled through the separate Label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05  ÜRETİM / AMBALAJLAMA KONTROLÜ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05  MANUFACTURING / PACKAGING CONTROL</w:t>
      </w:r>
    </w:p>
    <w:p>
      <w:pPr>
        <w:spacing w:before="0" w:after="120" w:line="259" w:lineRule="auto"/>
      </w:pPr>
      <w:r>
        <w:rPr>
          <w:rFonts w:ascii="Tahoma" w:hAnsi="Tahoma"/>
          <w:b w:val="0"/>
          <w:color w:val="1F2937"/>
          <w:sz w:val="20"/>
        </w:rPr>
        <w:t>İnci Akü, kendi sorumluluk kapsamındaki ambalajlama faaliyetinde {{CONFIG_SET_CODE}} onaylı sabit BOM’unun uygulanmasını, bileşen kimliğinin ve miktarlarının doğrulanmasını ve izlenebilirlik kayıtlarının korunmasını yönetir.</w:t>
      </w:r>
      <w:r>
        <w:rPr>
          <w:rFonts w:ascii="Tahoma" w:hAnsi="Tahoma"/>
          <w:i/>
          <w:color w:val="666666"/>
          <w:sz w:val="20"/>
        </w:rPr>
        <w:br/>
        <w:t>Within its responsibility scope, İnci Akü controls application of the approved fixed BOM {{CONFIG_SET_CODE}}, verification of component identity and quantities, and retention of traceability records.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5"/>
        <w:gridCol w:w="2565"/>
        <w:gridCol w:w="2565"/>
        <w:gridCol w:w="2565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Kontrol noktası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Control point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Kabul kriteri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Acceptance criterion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Kayıt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Record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Sorumluluk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Responsibility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Girdi kabulü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Incoming acceptance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Kod / tanım / miktar / hasar kontrolü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Code / description / quantity / damage check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Satın alma / kalite kayıtları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Purchasing / quality records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İnci Akü ilgili fonksiyonları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Relevant İnci Akü functions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Ambalaj hazırlama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assembly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{{CONFIG_SET_CODE}} sabit BOM’a uygunluk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Conformity with fixed BOM {{CONFIG_SET_CODE}}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Operasyon / paketleme kaydı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Operation / packing record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İnci Akü ilgili fonksiyonları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Relevant İnci Akü functions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Kütle ve miktar kontrolü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Mass and quantity control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Nominal BOM darası {{TOTAL_TARE_KG}} ve reçete miktarları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Nominal BOM tare {{TOTAL_TARE_KG}} and recipe quantities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PIMS / BOM kaydı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PIMS / BOM record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İnci Akü ilgili fonksiyonları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Relevant İnci Akü functions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Etiket ve izlenebilirlik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Label and traceability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Packaging Set Code ve belge bağlantıları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Set Code and document linkages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Label / shipment record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Label / shipment record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İnci Akü ilgili fonksiyonları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Relevant İnci Akü functions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Nihai serbest bırakma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Final release</w:t>
            </w:r>
          </w:p>
        </w:tc>
        <w:tc>
          <w:tcPr>
            <w:tcW w:type="dxa" w:w="351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Konfigürasyon, hasar, stabilite ve kayıt tamlığı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Configuration, damage, stability and record completeness</w:t>
            </w:r>
          </w:p>
        </w:tc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Kalite / lojistik kontrolü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Quality / logistics control</w:t>
            </w:r>
          </w:p>
        </w:tc>
        <w:tc>
          <w:tcPr>
            <w:tcW w:type="dxa" w:w="26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İnci Akü ilgili fonksiyonları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Relevant İnci Akü functions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06  ETİKETLEME, İZLENEBİLİRLİK VE BAĞLANTILI ÇIKTILAR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06  LABELLING, TRACEABILITY AND LINKED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Packaging Identification Label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Packaging Identification Label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{{LABEL_ID}}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EU Declaration of Conformity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EU Declaration of Conformity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{{DOC_ID}}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Shipment Packaging Information Statement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Shipment Packaging Information Statement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{{STM_ID}}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İzlenebilirlik anahtarı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Traceability key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6"/>
              </w:rPr>
              <w:t>{{CONFIG_SET_CODE}} → {{CONFIG_ID}} → {{SOURCE_CONFIG_ID}}</w:t>
            </w:r>
            <w:r>
              <w:rPr>
                <w:rFonts w:ascii="Tahoma" w:hAnsi="Tahoma"/>
                <w:i/>
                <w:color w:val="666666"/>
                <w:sz w:val="16"/>
              </w:rPr>
              <w:br/>
              <w:t>Packaging Set Code → Configuration ID → Source BOM ID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EAF2F8"/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7365D"/>
                <w:sz w:val="18"/>
              </w:rPr>
              <w:t>Üretici kimliği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Manufacturer identity</w:t>
            </w:r>
          </w:p>
        </w:tc>
        <w:tc>
          <w:tcPr>
            <w:tcW w:type="dxa" w:w="68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  <w:t>İnci Akü Sanayi ve Ticaret A.Ş.</w:t>
            </w:r>
            <w:r>
              <w:rPr>
                <w:rFonts w:ascii="Tahoma" w:hAnsi="Tahoma" w:eastAsia="Tahoma"/>
                <w:b w:val="0"/>
                <w:i/>
                <w:color w:val="666666"/>
                <w:sz w:val="18"/>
              </w:rPr>
              <w:br/>
              <w:t>Address/electronic contact shown on the controlled identification label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spacing w:before="0" w:after="100" w:line="259" w:lineRule="auto"/>
      </w:pPr>
      <w:r>
        <w:rPr>
          <w:rFonts w:ascii="Tahoma" w:hAnsi="Tahoma" w:eastAsia="Tahoma"/>
          <w:b w:val="0"/>
          <w:i w:val="0"/>
          <w:color w:val="1F2937"/>
          <w:sz w:val="20"/>
        </w:rPr>
        <w:t>Etiket, PPWR kimliklendirme amacıyla kontrol edilen ambalaj konfigürasyonunu tanımlar. ADR/IMDG ve ürün güvenliği işaretleri bu etiketten bağımsız olarak uygulanır.</w:t>
      </w:r>
      <w:r>
        <w:rPr>
          <w:rFonts w:ascii="Tahoma" w:hAnsi="Tahoma" w:eastAsia="Tahoma"/>
          <w:b w:val="0"/>
          <w:i/>
          <w:color w:val="666666"/>
          <w:sz w:val="20"/>
        </w:rPr>
        <w:br/>
        <w:t>The label identifies the controlled packaging configuration for PPWR traceability. ADR/IMDG and product-safety markings are applied independently of this label.</w:t>
      </w:r>
    </w:p>
    <w:p>
      <w:pPr>
        <w:keepNext/>
        <w:spacing w:before="140" w:after="80" w:line="259" w:lineRule="auto"/>
        <w:pBdr>
          <w:bottom w:val="single" w:sz="8" w:space="2" w:color="F4C300"/>
        </w:pBdr>
      </w:pPr>
      <w:r>
        <w:rPr>
          <w:rFonts w:ascii="Tahoma" w:hAnsi="Tahoma" w:eastAsia="Tahoma"/>
          <w:b/>
          <w:i w:val="0"/>
          <w:color w:val="17365D"/>
          <w:sz w:val="24"/>
        </w:rPr>
        <w:t>07  EKLER, DEĞİŞİKLİK KONTROLÜ VE SONUÇ</w:t>
      </w:r>
      <w:r>
        <w:rPr>
          <w:rFonts w:ascii="Tahoma" w:hAnsi="Tahoma" w:eastAsia="Tahoma"/>
          <w:b w:val="0"/>
          <w:i/>
          <w:color w:val="666666"/>
          <w:sz w:val="20"/>
        </w:rPr>
        <w:br/>
        <w:t>07  ANNEXES, CHANGE CONTROL AND CONCLUSION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Ek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Annex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İçerik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Content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  <w:shd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FFFFFF"/>
                <w:sz w:val="18"/>
              </w:rPr>
              <w:t>Durum / Referans</w:t>
            </w:r>
            <w:r>
              <w:rPr>
                <w:rFonts w:ascii="Tahoma" w:hAnsi="Tahoma" w:eastAsia="Tahoma"/>
                <w:b w:val="0"/>
                <w:i/>
                <w:color w:val="FFFFFF"/>
                <w:sz w:val="17"/>
              </w:rPr>
              <w:br/>
              <w:t>Status / Reference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A-01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Konfigürasyon çizimi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Configuration drawing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PENDING - DRAWING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A-02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Kontrollü fotoğraf kaydı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Controlled photographic record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PENDING - PHOTOGRAPHS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A-03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Varyant BOM kaydı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Variant BOM record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CONTROLLED - REV.00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A-04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Madde 5 değerlendirme esası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Article 5 assessment basis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7"/>
              </w:rPr>
              <w:t>REV00 ARTICLE 5 ASSESSMENT BASIS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A-05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AB Uygunluk Beyanı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EU Declaration of Conformity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{{DOC_ID}}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A-06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Ambalaj Kimlik Etiketi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Packaging Identification Label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{{LABEL_ID}}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/>
                <w:i w:val="0"/>
                <w:color w:val="1F2937"/>
                <w:sz w:val="17"/>
              </w:rPr>
              <w:t>A-07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 w:eastAsia="Tahoma"/>
                <w:b w:val="0"/>
                <w:i w:val="0"/>
                <w:color w:val="1F2937"/>
                <w:sz w:val="18"/>
              </w:rPr>
            </w:r>
            <w:r>
              <w:rPr>
                <w:rFonts w:ascii="Tahoma" w:hAnsi="Tahoma" w:eastAsia="Tahoma"/>
                <w:b w:val="0"/>
                <w:i w:val="0"/>
                <w:color w:val="1F2937"/>
                <w:sz w:val="15"/>
              </w:rPr>
              <w:t>Sevkiyat Ambalaj Bilgi Beyanı</w:t>
            </w:r>
            <w:r>
              <w:rPr>
                <w:rFonts w:ascii="Tahoma" w:hAnsi="Tahoma" w:eastAsia="Tahoma"/>
                <w:b w:val="0"/>
                <w:i/>
                <w:color w:val="666666"/>
                <w:sz w:val="17"/>
              </w:rPr>
              <w:br/>
              <w:t>Shipment Packaging Information Statement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AAB7C4"/>
              <w:left w:val="single" w:sz="4" w:color="AAB7C4"/>
              <w:bottom w:val="single" w:sz="4" w:color="AAB7C4"/>
              <w:right w:val="single" w:sz="4" w:color="AAB7C4"/>
              <w:insideH w:val="single" w:sz="4" w:color="AAB7C4"/>
              <w:insideV w:val="single" w:sz="4" w:color="AAB7C4"/>
            </w:tcBorders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b w:val="0"/>
                <w:color w:val="1F2937"/>
                <w:sz w:val="15"/>
              </w:rPr>
              <w:t>{{STM_ID}}</w:t>
            </w:r>
          </w:p>
        </w:tc>
      </w:tr>
    </w:tbl>
    <w:p>
      <w:pPr>
        <w:spacing w:after="120" w:line="24" w:lineRule="auto"/>
      </w:pPr>
      <w:r>
        <w:rPr>
          <w:rFonts w:ascii="Tahoma" w:hAnsi="Tahoma" w:eastAsia="Tahoma"/>
          <w:b w:val="0"/>
          <w:i w:val="0"/>
          <w:color w:val="FFFFFF"/>
          <w:sz w:val="2"/>
        </w:rPr>
        <w:t xml:space="preserve"> </w:t>
      </w:r>
    </w:p>
    <w:p>
      <w:pPr>
        <w:spacing w:before="0" w:after="100" w:line="259" w:lineRule="auto"/>
      </w:pPr>
      <w:r>
        <w:rPr>
          <w:rFonts w:ascii="Tahoma" w:hAnsi="Tahoma" w:eastAsia="Tahoma"/>
          <w:b w:val="0"/>
          <w:i w:val="0"/>
          <w:color w:val="1F2937"/>
          <w:sz w:val="20"/>
        </w:rPr>
        <w:t>Bu dosyadaki sabit BOM, ürün kapsamı, ağırlık veya ambalaj fonksiyonunu etkileyen değişikliklerde yeniden değerlendirilir ve gerektiğinde yeni revizyon yayımlanır. Rev.00 kapsamında çizimler ve fotoğraflar kontrollü ek olarak sonradan eklenecektir.</w:t>
      </w:r>
      <w:r>
        <w:rPr>
          <w:rFonts w:ascii="Tahoma" w:hAnsi="Tahoma" w:eastAsia="Tahoma"/>
          <w:b w:val="0"/>
          <w:i/>
          <w:color w:val="666666"/>
          <w:sz w:val="20"/>
        </w:rPr>
        <w:br/>
        <w:t>A change affecting the fixed BOM, product scope, weight or packaging function triggers reassessment and, where necessary, a new revision. Under Rev.00, drawings and photographs will be added later as controlled annexes.</w:t>
      </w:r>
    </w:p>
    <w:p>
      <w:pPr>
        <w:spacing w:before="0" w:after="120" w:line="259" w:lineRule="auto"/>
      </w:pPr>
      <w:r>
        <w:rPr>
          <w:rFonts w:ascii="Tahoma" w:hAnsi="Tahoma"/>
          <w:b/>
          <w:color w:val="1F2937"/>
          <w:sz w:val="20"/>
        </w:rPr>
        <w:t>SONUÇ: {{CONFIG_SET_CODE}} varyantı, Rev.00 teknik temeli ve bu Teknik Dosyada tanımlanan uygulanabilir PPWR değerlendirmeleri kapsamında kontrollüdür.</w:t>
      </w:r>
      <w:r>
        <w:rPr>
          <w:rFonts w:ascii="Tahoma" w:hAnsi="Tahoma"/>
          <w:i/>
          <w:color w:val="666666"/>
          <w:sz w:val="20"/>
        </w:rPr>
        <w:br/>
        <w:t>CONCLUSION: Variant {{CONFIG_SET_CODE}} is controlled under the Rev.00 technical basis and applicable PPWR assessments defined in this Technical File.</w:t>
      </w:r>
    </w:p>
    <w:sectPr>
      <w:headerReference w:type="default" r:id="rId2"/>
      <w:footerReference w:type="default" r:id="rId3"/>
      <w:type w:val="nextPage"/>
      <w:pgSz w:w="11906" w:h="16838"/>
      <w:pgMar w:left="822" w:right="822" w:gutter="0" w:header="850" w:top="1729" w:footer="283" w:bottom="150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Symbol">
    <w:charset w:val="02"/>
    <w:family w:val="decorative"/>
    <w:pitch w:val="variable"/>
  </w:font>
  <w:font w:name="Courier New">
    <w:charset w:val="00"/>
    <w:family w:val="modern"/>
    <w:pitch w:val="default"/>
  </w:font>
  <w:font w:name="Wingdings">
    <w:charset w:val="00"/>
    <w:family w:val="decorative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Helvetica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ind w:left="-426" w:right="-568"/>
      <w:rPr/>
    </w:pPr>
    <w:r>
      <w:rPr>
        <w:rFonts w:cs="Helvetica" w:ascii="Tahoma" w:hAnsi="Tahoma" w:eastAsia="Tahoma"/>
        <w:b/>
        <w:color w:val="595959"/>
        <w:sz w:val="14"/>
        <w:szCs w:val="14"/>
        <w:lang w:val="en-US" w:eastAsia="en-US"/>
      </w:rPr>
      <w:drawing>
        <wp:inline distT="0" distB="0" distL="0" distR="0">
          <wp:extent cx="665480" cy="442595"/>
          <wp:effectExtent l="0" t="0" r="0" b="0"/>
          <wp:docPr id="2" name="Resim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esim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2" t="-18" r="-12" b="-18"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442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Tahoma" w:hAnsi="Tahoma" w:eastAsia="Tahoma"/>
        <w:b/>
        <w:bCs/>
        <w:color w:val="595959"/>
        <w:sz w:val="14"/>
        <w:szCs w:val="14"/>
      </w:rPr>
      <w:tab/>
      <w:tab/>
      <w:tab/>
      <w:tab/>
      <w:tab/>
      <w:t xml:space="preserve"> </w:t>
      <w:tab/>
      <w:tab/>
      <w:t xml:space="preserve"> </w:t>
      <w:tab/>
      <w:t xml:space="preserve">                                 </w:t>
    </w:r>
    <w:r>
      <w:rPr>
        <w:rFonts w:cs="Helvetica" w:ascii="Tahoma" w:hAnsi="Tahoma" w:eastAsia="Tahoma"/>
        <w:b/>
        <w:color w:val="595959"/>
        <w:sz w:val="14"/>
        <w:szCs w:val="14"/>
        <w:lang w:val="en-US" w:eastAsia="en-US"/>
      </w:rPr>
      <w:drawing>
        <wp:inline distT="0" distB="0" distL="0" distR="0">
          <wp:extent cx="2232025" cy="664845"/>
          <wp:effectExtent l="0" t="0" r="0" b="0"/>
          <wp:docPr id="3" name="Resi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sim 1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16" t="-54" r="-16" b="-54"/>
                  <a:stretch>
                    <a:fillRect/>
                  </a:stretch>
                </pic:blipFill>
                <pic:spPr bwMode="auto">
                  <a:xfrm>
                    <a:off x="0" y="0"/>
                    <a:ext cx="2232025" cy="664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rFonts w:cs="Helvetica" w:ascii="Tahoma" w:hAnsi="Tahoma" w:eastAsia="Tahoma"/>
        <w:b/>
        <w:bCs/>
        <w:color w:val="595959"/>
        <w:sz w:val="14"/>
        <w:szCs w:val="14"/>
      </w:rPr>
      <w:tab/>
      <w:t xml:space="preserve">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026"/>
        <w:tab w:val="center" w:pos="4513" w:leader="none"/>
        <w:tab w:val="right" w:pos="10206" w:leader="none"/>
      </w:tabs>
      <w:jc w:val="right"/>
      <w:rPr>
        <w:lang w:val="en-US" w:eastAsia="en-US"/>
      </w:rPr>
    </w:pPr>
    <w:r>
      <w:rPr>
        <w:rFonts w:ascii="Tahoma" w:hAnsi="Tahoma" w:eastAsia="Tahoma"/>
        <w:lang w:val="en-US" w:eastAsia="en-US"/>
      </w:rPr>
      <w:drawing>
        <wp:inline distT="0" distB="0" distL="0" distR="0">
          <wp:extent cx="1636395" cy="55499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163639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80"/>
    </w:pPr>
    <w:rPr>
      <w:rFonts w:ascii="Tahoma" w:hAnsi="Tahoma" w:eastAsia="Tahoma" w:cs="Times New Roman"/>
      <w:color w:val="auto"/>
      <w:sz w:val="20"/>
      <w:szCs w:val="22"/>
      <w:lang w:val="tr-TR" w:bidi="ar-SA" w:eastAsia="zh-CN"/>
    </w:rPr>
  </w:style>
  <w:style w:type="character" w:styleId="WW8Num1z0">
    <w:name w:val="WW8Num1z0"/>
    <w:qFormat/>
    <w:rPr>
      <w:rFonts w:ascii="Tahoma" w:hAnsi="Tahoma" w:cs="Symbol" w:eastAsia="Tahoma"/>
    </w:rPr>
  </w:style>
  <w:style w:type="character" w:styleId="WW8Num1z1">
    <w:name w:val="WW8Num1z1"/>
    <w:qFormat/>
    <w:rPr>
      <w:rFonts w:ascii="Tahoma" w:hAnsi="Tahoma" w:cs="Courier New" w:eastAsia="Tahoma"/>
    </w:rPr>
  </w:style>
  <w:style w:type="character" w:styleId="WW8Num1z2">
    <w:name w:val="WW8Num1z2"/>
    <w:qFormat/>
    <w:rPr>
      <w:rFonts w:ascii="Tahoma" w:hAnsi="Tahoma" w:cs="Wingdings" w:eastAsia="Tahoma"/>
    </w:rPr>
  </w:style>
  <w:style w:type="character" w:styleId="VarsaylanParagrafYazTipi">
    <w:name w:val="Varsayılan Paragraf Yazı Tipi"/>
    <w:qFormat/>
    <w:rPr>
      <w:rFonts w:ascii="Tahoma" w:hAnsi="Tahoma" w:eastAsia="Tahoma"/>
    </w:rPr>
  </w:style>
  <w:style w:type="character" w:styleId="stbilgiChar">
    <w:name w:val="Üstbilgi Char"/>
    <w:qFormat/>
    <w:rPr>
      <w:rFonts w:cs="Times New Roman" w:ascii="Tahoma" w:hAnsi="Tahoma" w:eastAsia="Tahoma"/>
    </w:rPr>
  </w:style>
  <w:style w:type="character" w:styleId="AltbilgiChar">
    <w:name w:val="Altbilgi Char"/>
    <w:qFormat/>
    <w:rPr>
      <w:rFonts w:cs="Times New Roman" w:ascii="Tahoma" w:hAnsi="Tahoma" w:eastAsia="Tahoma"/>
    </w:rPr>
  </w:style>
  <w:style w:type="character" w:styleId="BalonMetniChar">
    <w:name w:val="Balon Metni Char"/>
    <w:qFormat/>
    <w:rPr>
      <w:rFonts w:ascii="Tahoma" w:hAnsi="Tahoma" w:cs="Tahoma" w:eastAsia="Tahoma"/>
      <w:sz w:val="16"/>
    </w:rPr>
  </w:style>
  <w:style w:type="character" w:styleId="Hyperlink">
    <w:name w:val="Hyperlink"/>
    <w:rPr>
      <w:rFonts w:ascii="Tahoma" w:hAnsi="Tahoma" w:eastAsia="Tahoma"/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ahoma" w:hAnsi="Tahoma" w:eastAsia="Tahoma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ahoma" w:hAnsi="Tahoma" w:eastAsia="Tahoma"/>
    </w:rPr>
  </w:style>
  <w:style w:type="paragraph" w:styleId="List">
    <w:name w:val="List"/>
    <w:basedOn w:val="BodyText"/>
    <w:pPr/>
    <w:rPr>
      <w:rFonts w:cs="Lohit Devanagari" w:ascii="Tahoma" w:hAnsi="Tahoma" w:eastAsia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 w:ascii="Tahoma" w:hAnsi="Tahoma" w:eastAsia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 w:ascii="Tahoma" w:hAnsi="Tahoma" w:eastAsia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>
      <w:rFonts w:ascii="Tahoma" w:hAnsi="Tahoma" w:eastAsia="Tahoma"/>
    </w:rPr>
  </w:style>
  <w:style w:type="paragraph" w:styleId="Header">
    <w:name w:val="head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Footer">
    <w:name w:val="footer"/>
    <w:basedOn w:val="Normal"/>
    <w:pPr>
      <w:tabs>
        <w:tab w:val="clear" w:pos="708"/>
        <w:tab w:val="center" w:pos="4513" w:leader="none"/>
        <w:tab w:val="right" w:pos="9026" w:leader="none"/>
      </w:tabs>
      <w:spacing w:lineRule="auto" w:line="240" w:before="0" w:after="0"/>
    </w:pPr>
    <w:rPr>
      <w:rFonts w:ascii="Tahoma" w:hAnsi="Tahoma" w:eastAsia="Tahoma"/>
      <w:sz w:val="20"/>
      <w:szCs w:val="20"/>
      <w:lang w:val="en-US"/>
    </w:rPr>
  </w:style>
  <w:style w:type="paragraph" w:styleId="BalonMetni">
    <w:name w:val="Balon Metni"/>
    <w:basedOn w:val="Normal"/>
    <w:qFormat/>
    <w:pPr>
      <w:spacing w:lineRule="auto" w:line="240" w:before="0" w:after="0"/>
    </w:pPr>
    <w:rPr>
      <w:rFonts w:ascii="Tahoma" w:hAnsi="Tahoma" w:cs="Tahoma" w:eastAsia="Tahoma"/>
      <w:sz w:val="16"/>
      <w:szCs w:val="20"/>
      <w:lang w:val="en-US"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Files\SAP\FrontEnd\sapgui\wwi\wwidispl.dot</Template>
  <TotalTime>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2026-06-12T11:25:00Z</dcterms:created>
  <dc:creator>İnci Akü Sanayi ve Ticaret A.Ş.</dc:creator>
  <dc:description/>
  <cp:keywords/>
  <dc:language>en-US</dc:language>
  <cp:lastModifiedBy>İnci Akü Sanayi ve Ticaret A.Ş.</cp:lastModifiedBy>
  <cp:lastPrinted>2015-10-08T11:53:00Z</cp:lastPrinted>
  <dcterms:modified xsi:type="dcterms:W3CDTF">2026-06-16T17:29:00Z</dcterms:modified>
  <cp:revision>7</cp:revision>
  <dc:subject/>
  <dc:title/>
</cp:coreProperties>
</file>