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40" w:line="259" w:lineRule="auto"/>
      </w:pPr>
      <w:r>
        <w:rPr>
          <w:rFonts w:ascii="Tahoma" w:hAnsi="Tahoma" w:eastAsia="Tahoma"/>
          <w:b/>
          <w:i w:val="0"/>
          <w:color w:val="17365D"/>
          <w:sz w:val="32"/>
        </w:rPr>
        <w:t>PPWR AB UYGUNLUK BEYANI</w:t>
      </w:r>
      <w:r>
        <w:rPr>
          <w:rFonts w:ascii="Tahoma" w:hAnsi="Tahoma" w:eastAsia="Tahoma"/>
          <w:b/>
          <w:i/>
          <w:color w:val="0B6FA4"/>
          <w:sz w:val="25"/>
        </w:rPr>
        <w:br/>
        <w:t>PPWR EU DECLARATION OF CONFORMITY</w:t>
      </w:r>
      <w:r>
        <w:rPr>
          <w:rFonts w:ascii="Tahoma" w:hAnsi="Tahoma" w:eastAsia="Tahoma"/>
          <w:b w:val="0"/>
          <w:i w:val="0"/>
          <w:color w:val="666666"/>
          <w:sz w:val="18"/>
        </w:rPr>
        <w:br/>
        <w:t>Regulation (EU) 2025/40 • Annex VIII</w:t>
      </w:r>
    </w:p>
    <w:p>
      <w:pPr>
        <w:spacing w:before="0" w:after="160" w:line="259" w:lineRule="auto"/>
        <w:pBdr>
          <w:bottom w:val="single" w:sz="12" w:space="3" w:color="F4C300"/>
        </w:pBdr>
      </w:pPr>
      <w:r>
        <w:rPr>
          <w:rFonts w:ascii="Tahoma" w:hAnsi="Tahoma" w:eastAsia="Tahoma"/>
          <w:b w:val="0"/>
          <w:i w:val="0"/>
          <w:color w:val="666666"/>
          <w:sz w:val="18"/>
        </w:rPr>
        <w:t>{{DOC_ID}}  •  Rev.00  •  08.08.2026</w:t>
      </w:r>
    </w:p>
    <w:tbl>
      <w:tblPr>
        <w:tblW w:type="auto" w:w="0"/>
        <w:jc w:val="center"/>
        <w:tblLayout w:type="fixed"/>
        <w:tblLook w:firstColumn="1" w:firstRow="1" w:lastColumn="0" w:lastRow="0" w:noHBand="0" w:noVBand="1" w:val="04A0"/>
      </w:tblPr>
      <w:tblGrid>
        <w:gridCol w:w="5131"/>
        <w:gridCol w:w="5131"/>
      </w:tblGrid>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Beyan Numarası</w:t>
            </w:r>
            <w:r>
              <w:rPr>
                <w:rFonts w:ascii="Tahoma" w:hAnsi="Tahoma" w:eastAsia="Tahoma"/>
                <w:b w:val="0"/>
                <w:i/>
                <w:color w:val="666666"/>
                <w:sz w:val="17"/>
              </w:rPr>
              <w:br/>
              <w:t>Declaration No.</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{{DOC_ID}}</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Ambalajın benzersiz tanımlaması</w:t>
            </w:r>
            <w:r>
              <w:rPr>
                <w:rFonts w:ascii="Tahoma" w:hAnsi="Tahoma" w:eastAsia="Tahoma"/>
                <w:b w:val="0"/>
                <w:i/>
                <w:color w:val="666666"/>
                <w:sz w:val="17"/>
              </w:rPr>
              <w:br/>
              <w:t>Unique identification of packaging</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{{CONFIG_SET_CODE}}</w:t>
            </w:r>
            <w:r>
              <w:rPr>
                <w:rFonts w:ascii="Tahoma" w:hAnsi="Tahoma"/>
                <w:i/>
                <w:color w:val="666666"/>
                <w:sz w:val="17"/>
              </w:rPr>
              <w:br/>
              <w:t>Configuration ID: {{CONFIG_ID}}</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Ambalaj açıklaması</w:t>
            </w:r>
            <w:r>
              <w:rPr>
                <w:rFonts w:ascii="Tahoma" w:hAnsi="Tahoma" w:eastAsia="Tahoma"/>
                <w:b w:val="0"/>
                <w:i/>
                <w:color w:val="666666"/>
                <w:sz w:val="17"/>
              </w:rPr>
              <w:br/>
              <w:t>Description of packaging</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{{PACKAGING_DESCRIPTION_TR}}</w:t>
            </w:r>
            <w:r>
              <w:rPr>
                <w:rFonts w:ascii="Tahoma" w:hAnsi="Tahoma"/>
                <w:i/>
                <w:color w:val="666666"/>
                <w:sz w:val="17"/>
              </w:rPr>
              <w:br/>
              <w:t>{{PACKAGING_DESCRIPTION_EN}}</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sz w:val="17"/>
              </w:rPr>
            </w:r>
            <w:r>
              <w:rPr>
                <w:rFonts w:ascii="Tahoma" w:hAnsi="Tahoma"/>
                <w:b/>
                <w:color w:val="17365D"/>
                <w:sz w:val="17"/>
              </w:rPr>
              <w:t>Ayırt edici özellik</w:t>
            </w:r>
            <w:r>
              <w:rPr>
                <w:rFonts w:ascii="Tahoma" w:hAnsi="Tahoma"/>
                <w:i/>
                <w:color w:val="666666"/>
                <w:sz w:val="17"/>
              </w:rPr>
              <w:br/>
              <w:t>Variant basis</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{{VARIANT_BASIS_TR}}</w:t>
            </w:r>
            <w:r>
              <w:rPr>
                <w:rFonts w:ascii="Tahoma" w:hAnsi="Tahoma"/>
                <w:i/>
                <w:color w:val="666666"/>
                <w:sz w:val="17"/>
              </w:rPr>
              <w:br/>
              <w:t>{{VARIANT_BASIS_EN}}</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Üretici</w:t>
            </w:r>
            <w:r>
              <w:rPr>
                <w:rFonts w:ascii="Tahoma" w:hAnsi="Tahoma" w:eastAsia="Tahoma"/>
                <w:b w:val="0"/>
                <w:i/>
                <w:color w:val="666666"/>
                <w:sz w:val="17"/>
              </w:rPr>
              <w:br/>
              <w:t>Manufacturer</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İnci Akü Sanayi ve Ticaret A.Ş.</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Adres</w:t>
            </w:r>
            <w:r>
              <w:rPr>
                <w:rFonts w:ascii="Tahoma" w:hAnsi="Tahoma" w:eastAsia="Tahoma"/>
                <w:b w:val="0"/>
                <w:i/>
                <w:color w:val="666666"/>
                <w:sz w:val="17"/>
              </w:rPr>
              <w:br/>
              <w:t>Address</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Manisa OSB 2. Kısım Keçiliköy OSB Mh., Gaziler Cad. No:6, 45030 Yunusemre-Manisa / Türkiye</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Elektronik iletişim</w:t>
            </w:r>
            <w:r>
              <w:rPr>
                <w:rFonts w:ascii="Tahoma" w:hAnsi="Tahoma" w:eastAsia="Tahoma"/>
                <w:b w:val="0"/>
                <w:i/>
                <w:color w:val="666666"/>
                <w:sz w:val="17"/>
              </w:rPr>
              <w:br/>
              <w:t>Electronic contact</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info@inciaku.com • www.inciaku.com / +90 236 233 25 10</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Teknik Dosya</w:t>
            </w:r>
            <w:r>
              <w:rPr>
                <w:rFonts w:ascii="Tahoma" w:hAnsi="Tahoma" w:eastAsia="Tahoma"/>
                <w:b w:val="0"/>
                <w:i/>
                <w:color w:val="666666"/>
                <w:sz w:val="17"/>
              </w:rPr>
              <w:br/>
              <w:t>Technical File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{{TF_ID}}</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Revizyon / yayın tarihi</w:t>
            </w:r>
            <w:r>
              <w:rPr>
                <w:rFonts w:ascii="Tahoma" w:hAnsi="Tahoma" w:eastAsia="Tahoma"/>
                <w:b w:val="0"/>
                <w:i/>
                <w:color w:val="666666"/>
                <w:sz w:val="17"/>
              </w:rPr>
              <w:br/>
              <w:t>Revision / issue date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Rev.00 / 08.08.2026</w:t>
            </w:r>
          </w:p>
        </w:tc>
      </w:tr>
    </w:tbl>
    <w:p>
      <w:pPr>
        <w:spacing w:after="120" w:line="24" w:lineRule="auto"/>
      </w:pPr>
      <w:r>
        <w:rPr>
          <w:rFonts w:ascii="Tahoma" w:hAnsi="Tahoma" w:eastAsia="Tahoma"/>
          <w:b w:val="0"/>
          <w:i w:val="0"/>
          <w:color w:val="FFFFFF"/>
          <w:sz w:val="2"/>
        </w:rPr>
        <w:t xml:space="preserve"> </w:t>
      </w:r>
    </w:p>
    <w:p>
      <w:pPr>
        <w:keepNext/>
        <w:spacing w:before="140" w:after="80" w:line="259" w:lineRule="auto"/>
        <w:pBdr>
          <w:bottom w:val="single" w:sz="8" w:space="2" w:color="F4C300"/>
        </w:pBdr>
      </w:pPr>
      <w:r>
        <w:rPr>
          <w:rFonts w:ascii="Tahoma" w:hAnsi="Tahoma" w:eastAsia="Tahoma"/>
          <w:b/>
          <w:i w:val="0"/>
          <w:color w:val="17365D"/>
          <w:sz w:val="24"/>
        </w:rPr>
        <w:t>01  TEK SORUMLULUK VE BEYANIN KONUSU</w:t>
      </w:r>
      <w:r>
        <w:rPr>
          <w:rFonts w:ascii="Tahoma" w:hAnsi="Tahoma" w:eastAsia="Tahoma"/>
          <w:b w:val="0"/>
          <w:i/>
          <w:color w:val="666666"/>
          <w:sz w:val="20"/>
        </w:rPr>
        <w:br/>
        <w:t>01  SOLE RESPONSIBILITY AND OBJECT OF THE DECLARATION</w:t>
      </w:r>
    </w:p>
    <w:p>
      <w:pPr>
        <w:spacing w:before="0" w:after="120" w:line="259" w:lineRule="auto"/>
      </w:pPr>
      <w:r>
        <w:rPr>
          <w:rFonts w:ascii="Tahoma" w:hAnsi="Tahoma"/>
          <w:b w:val="0"/>
          <w:color w:val="1F2937"/>
          <w:sz w:val="20"/>
        </w:rPr>
        <w:t>Bu AB Uygunluk Beyanı, İnci Akü Sanayi ve Ticaret A.Ş.’nin bu belgede ve bağlantılı Teknik Dosyada tanımlanan sorumluluk kapsamı için tek sorumluluğu altında düzenlenmiştir.</w:t>
      </w:r>
      <w:r>
        <w:rPr>
          <w:rFonts w:ascii="Tahoma" w:hAnsi="Tahoma"/>
          <w:i/>
          <w:color w:val="666666"/>
          <w:sz w:val="20"/>
        </w:rPr>
        <w:br/>
        <w:t>This EU Declaration of Conformity is issued under the sole responsibility of İnci Akü Sanayi ve Ticaret A.Ş. for the responsibility scope identified in this declaration and the linked Technical File.</w:t>
      </w:r>
    </w:p>
    <w:p>
      <w:pPr>
        <w:spacing w:before="0" w:after="120" w:line="259" w:lineRule="auto"/>
      </w:pPr>
      <w:r>
        <w:rPr>
          <w:rFonts w:ascii="Tahoma" w:hAnsi="Tahoma"/>
          <w:b w:val="0"/>
          <w:color w:val="1F2937"/>
          <w:sz w:val="20"/>
        </w:rPr>
        <w:t>Beyanın konusu {{CONFIG_SET_CODE}} kimlikli sabit ambalaj varyantıdır. Ayırt edici özellik ve sabit BOM, bağlantılı Teknik Dosyada tanımlanmıştır.</w:t>
      </w:r>
      <w:r>
        <w:rPr>
          <w:rFonts w:ascii="Tahoma" w:hAnsi="Tahoma"/>
          <w:i/>
          <w:color w:val="666666"/>
          <w:sz w:val="20"/>
        </w:rPr>
        <w:br/>
        <w:t>The object of the declaration is fixed packaging variant {{CONFIG_SET_CODE}}. Its variant basis and fixed BOM are defined in the linked Technical File.</w:t>
      </w:r>
    </w:p>
    <w:p>
      <w:pPr>
        <w:keepNext/>
        <w:spacing w:before="140" w:after="80" w:line="259" w:lineRule="auto"/>
        <w:pBdr>
          <w:bottom w:val="single" w:sz="8" w:space="2" w:color="F4C300"/>
        </w:pBdr>
      </w:pPr>
      <w:r>
        <w:rPr>
          <w:rFonts w:ascii="Tahoma" w:hAnsi="Tahoma" w:eastAsia="Tahoma"/>
          <w:b/>
          <w:i w:val="0"/>
          <w:color w:val="17365D"/>
          <w:sz w:val="24"/>
        </w:rPr>
        <w:t>02  UYGUNLUK BEYANI VE TEKNİK REFERANSLAR</w:t>
      </w:r>
      <w:r>
        <w:rPr>
          <w:rFonts w:ascii="Tahoma" w:hAnsi="Tahoma" w:eastAsia="Tahoma"/>
          <w:b w:val="0"/>
          <w:i/>
          <w:color w:val="666666"/>
          <w:sz w:val="20"/>
        </w:rPr>
        <w:br/>
        <w:t>02  DECLARATION OF CONFORMITY AND TECHNICAL REFERENCES</w:t>
      </w:r>
    </w:p>
    <w:p>
      <w:pPr>
        <w:spacing w:before="0" w:after="100" w:line="259" w:lineRule="auto"/>
      </w:pPr>
      <w:r>
        <w:rPr>
          <w:rFonts w:ascii="Tahoma" w:hAnsi="Tahoma" w:eastAsia="Tahoma"/>
          <w:b w:val="0"/>
          <w:i w:val="0"/>
          <w:color w:val="1F2937"/>
          <w:sz w:val="20"/>
        </w:rPr>
        <w:t>Yukarıda tanımlanan ambalajın, bu beyanın yayın tarihinde uygulanabilir olan Regulation (EU) 2025/40 hükümlerine uygunluğu, bağlantılı Teknik Dosya ve Rev.00 kontrollü teknik kayıt esas alınarak değerlendirilmiştir.</w:t>
      </w:r>
      <w:r>
        <w:rPr>
          <w:rFonts w:ascii="Tahoma" w:hAnsi="Tahoma" w:eastAsia="Tahoma"/>
          <w:b w:val="0"/>
          <w:i/>
          <w:color w:val="666666"/>
          <w:sz w:val="20"/>
        </w:rPr>
        <w:br/>
        <w:t>The packaging identified above has been assessed against the provisions of Regulation (EU) 2025/40 applicable on the issue date, on the basis of the linked Technical File and the Rev.00 controlled technical record.</w:t>
      </w:r>
    </w:p>
    <w:tbl>
      <w:tblPr>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Referans</w:t>
            </w:r>
            <w:r>
              <w:rPr>
                <w:rFonts w:ascii="Tahoma" w:hAnsi="Tahoma" w:eastAsia="Tahoma"/>
                <w:b w:val="0"/>
                <w:i/>
                <w:color w:val="FFFFFF"/>
                <w:sz w:val="17"/>
              </w:rPr>
              <w:br/>
              <w:t>Reference</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Konu</w:t>
            </w:r>
            <w:r>
              <w:rPr>
                <w:rFonts w:ascii="Tahoma" w:hAnsi="Tahoma" w:eastAsia="Tahoma"/>
                <w:b w:val="0"/>
                <w:i/>
                <w:color w:val="FFFFFF"/>
                <w:sz w:val="17"/>
              </w:rPr>
              <w:br/>
              <w:t>Subject</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17365D"/>
          </w:tcPr>
          <w:p>
            <w:pPr>
              <w:spacing w:before="0" w:after="0" w:line="240" w:lineRule="auto"/>
              <w:jc w:val="center"/>
            </w:pPr>
            <w:r>
              <w:rPr>
                <w:rFonts w:ascii="Tahoma" w:hAnsi="Tahoma" w:eastAsia="Tahoma"/>
                <w:b w:val="0"/>
                <w:i w:val="0"/>
                <w:color w:val="1F2937"/>
                <w:sz w:val="17"/>
              </w:rPr>
            </w:r>
            <w:r>
              <w:rPr>
                <w:rFonts w:ascii="Tahoma" w:hAnsi="Tahoma" w:eastAsia="Tahoma"/>
                <w:b/>
                <w:i w:val="0"/>
                <w:color w:val="FFFFFF"/>
                <w:sz w:val="17"/>
              </w:rPr>
              <w:t>Uygulama / durum</w:t>
            </w:r>
            <w:r>
              <w:rPr>
                <w:rFonts w:ascii="Tahoma" w:hAnsi="Tahoma" w:eastAsia="Tahoma"/>
                <w:b w:val="0"/>
                <w:i/>
                <w:color w:val="FFFFFF"/>
                <w:sz w:val="17"/>
              </w:rPr>
              <w:br/>
              <w:t>Application / status</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Regulation (EU) 2025/40</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Ambalaj ve ambalaj atıkları</w:t>
            </w:r>
            <w:r>
              <w:rPr>
                <w:rFonts w:ascii="Tahoma" w:hAnsi="Tahoma" w:eastAsia="Tahoma"/>
                <w:b w:val="0"/>
                <w:i/>
                <w:color w:val="666666"/>
                <w:sz w:val="17"/>
              </w:rPr>
              <w:br/>
              <w:t>Packaging and packaging waste</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Bu beyanın yasal dayanağı</w:t>
            </w:r>
            <w:r>
              <w:rPr>
                <w:rFonts w:ascii="Tahoma" w:hAnsi="Tahoma" w:eastAsia="Tahoma"/>
                <w:b w:val="0"/>
                <w:i/>
                <w:color w:val="666666"/>
                <w:sz w:val="17"/>
              </w:rPr>
              <w:br/>
              <w:t>Legal basis of this declaration</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Annex VII / Module A</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İç üretim kontrolü</w:t>
            </w:r>
            <w:r>
              <w:rPr>
                <w:rFonts w:ascii="Tahoma" w:hAnsi="Tahoma" w:eastAsia="Tahoma"/>
                <w:b w:val="0"/>
                <w:i/>
                <w:color w:val="666666"/>
                <w:sz w:val="17"/>
              </w:rPr>
              <w:br/>
              <w:t>Internal production control</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Bağlantılı Teknik Dosya üzerinden uygulanır</w:t>
            </w:r>
            <w:r>
              <w:rPr>
                <w:rFonts w:ascii="Tahoma" w:hAnsi="Tahoma" w:eastAsia="Tahoma"/>
                <w:b w:val="0"/>
                <w:i/>
                <w:color w:val="666666"/>
                <w:sz w:val="17"/>
              </w:rPr>
              <w:br/>
              <w:t>Applied through the linked Technical File</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6"/>
              </w:rPr>
              <w:t>{{TF_ID}}</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Teknik değerlendirme ve sabit BOM</w:t>
            </w:r>
            <w:r>
              <w:rPr>
                <w:rFonts w:ascii="Tahoma" w:hAnsi="Tahoma" w:eastAsia="Tahoma"/>
                <w:b w:val="0"/>
                <w:i/>
                <w:color w:val="666666"/>
                <w:sz w:val="17"/>
              </w:rPr>
              <w:br/>
              <w:t>Technical assessment and fixed BOM</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Kontrollü teknik referans</w:t>
            </w:r>
            <w:r>
              <w:rPr>
                <w:rFonts w:ascii="Tahoma" w:hAnsi="Tahoma" w:eastAsia="Tahoma"/>
                <w:b w:val="0"/>
                <w:i/>
                <w:color w:val="666666"/>
                <w:sz w:val="17"/>
              </w:rPr>
              <w:br/>
              <w:t>Controlled technical reference</w:t>
            </w:r>
          </w:p>
        </w:tc>
      </w:tr>
      <w:tr>
        <w:trPr>
          <w:cantSplit/>
        </w:trPr>
        <w:tc>
          <w:tcPr>
            <w:tcW w:type="dxa" w:w="249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i w:val="0"/>
                <w:color w:val="1F2937"/>
                <w:sz w:val="17"/>
              </w:rPr>
              <w:t>Rev.00 Article 5 assessment basis</w:t>
            </w:r>
          </w:p>
        </w:tc>
        <w:tc>
          <w:tcPr>
            <w:tcW w:type="dxa" w:w="3458"/>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Ağır metal / SoC değerlendirme esası</w:t>
            </w:r>
            <w:r>
              <w:rPr>
                <w:rFonts w:ascii="Tahoma" w:hAnsi="Tahoma" w:eastAsia="Tahoma"/>
                <w:b w:val="0"/>
                <w:i/>
                <w:color w:val="666666"/>
                <w:sz w:val="17"/>
              </w:rPr>
              <w:br/>
              <w:t>Heavy-metal / SoC assessment basis</w:t>
            </w:r>
          </w:p>
        </w:tc>
        <w:tc>
          <w:tcPr>
            <w:tcW w:type="dxa" w:w="4309"/>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Desteklenmeyen bileşen-seviyesi sayısal iddia yok</w:t>
            </w:r>
            <w:r>
              <w:rPr>
                <w:rFonts w:ascii="Tahoma" w:hAnsi="Tahoma" w:eastAsia="Tahoma"/>
                <w:b w:val="0"/>
                <w:i/>
                <w:color w:val="666666"/>
                <w:sz w:val="17"/>
              </w:rPr>
              <w:br/>
              <w:t>No unsupported component-level numerical claim</w:t>
            </w:r>
          </w:p>
        </w:tc>
      </w:tr>
    </w:tbl>
    <w:p>
      <w:pPr>
        <w:spacing w:after="120" w:line="24" w:lineRule="auto"/>
      </w:pPr>
      <w:r>
        <w:rPr>
          <w:rFonts w:ascii="Tahoma" w:hAnsi="Tahoma" w:eastAsia="Tahoma"/>
          <w:b w:val="0"/>
          <w:i w:val="0"/>
          <w:color w:val="FFFFFF"/>
          <w:sz w:val="2"/>
        </w:rPr>
        <w:t xml:space="preserve"> </w:t>
      </w:r>
    </w:p>
    <w:p>
      <w:pPr>
        <w:spacing w:before="0" w:after="60" w:line="259" w:lineRule="auto"/>
      </w:pPr>
      <w:r>
        <w:rPr>
          <w:rFonts w:ascii="Tahoma" w:hAnsi="Tahoma"/>
          <w:sz w:val="20"/>
        </w:rPr>
        <w:t>Henüz uygulanmayan veya ikincil mevzuatı tamamlanmamış gereklilikler için erken performans/uygunluk iddiası oluşturulmaz.</w:t>
      </w:r>
      <w:r>
        <w:rPr>
          <w:rFonts w:ascii="Tahoma" w:hAnsi="Tahoma"/>
          <w:i/>
          <w:sz w:val="20"/>
        </w:rPr>
        <w:br/>
        <w:t>No early performance or conformity claim is made for requirements not yet applicable or awaiting secondary legislation.</w:t>
      </w:r>
    </w:p>
    <w:p>
      <w:pPr>
        <w:keepNext/>
        <w:spacing w:before="140" w:after="80" w:line="259" w:lineRule="auto"/>
        <w:pBdr>
          <w:bottom w:val="single" w:sz="8" w:space="2" w:color="F4C300"/>
        </w:pBdr>
      </w:pPr>
      <w:r>
        <w:rPr>
          <w:rFonts w:ascii="Tahoma" w:hAnsi="Tahoma" w:eastAsia="Tahoma"/>
          <w:b/>
          <w:i w:val="0"/>
          <w:color w:val="17365D"/>
          <w:sz w:val="24"/>
        </w:rPr>
        <w:t>03  EK BİLGİLER, GEÇERLİLİK VE İMZA</w:t>
      </w:r>
      <w:r>
        <w:rPr>
          <w:rFonts w:ascii="Tahoma" w:hAnsi="Tahoma" w:eastAsia="Tahoma"/>
          <w:b w:val="0"/>
          <w:i/>
          <w:color w:val="666666"/>
          <w:sz w:val="20"/>
        </w:rPr>
        <w:br/>
        <w:t>03  ADDITIONAL INFORMATION, VALIDITY AND SIGNATURE</w:t>
      </w:r>
    </w:p>
    <w:tbl>
      <w:tblPr>
        <w:tblW w:type="auto" w:w="0"/>
        <w:jc w:val="center"/>
        <w:tblLayout w:type="fixed"/>
        <w:tblLook w:firstColumn="1" w:firstRow="1" w:lastColumn="0" w:lastRow="0" w:noHBand="0" w:noVBand="1" w:val="04A0"/>
      </w:tblPr>
      <w:tblGrid>
        <w:gridCol w:w="5131"/>
        <w:gridCol w:w="5131"/>
      </w:tblGrid>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Source BOM ID</w:t>
            </w:r>
            <w:r>
              <w:rPr>
                <w:rFonts w:ascii="Tahoma" w:hAnsi="Tahoma" w:eastAsia="Tahoma"/>
                <w:b w:val="0"/>
                <w:i/>
                <w:color w:val="666666"/>
                <w:sz w:val="17"/>
              </w:rPr>
              <w:br/>
              <w:t>Source BOM ID</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{{SOURCE_CONFIG_ID}}</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Packaging tare</w:t>
            </w:r>
            <w:r>
              <w:rPr>
                <w:rFonts w:ascii="Tahoma" w:hAnsi="Tahoma" w:eastAsia="Tahoma"/>
                <w:b w:val="0"/>
                <w:i/>
                <w:color w:val="666666"/>
                <w:sz w:val="17"/>
              </w:rPr>
              <w:br/>
              <w:t>Packaging tare</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b w:val="0"/>
                <w:color w:val="1F2937"/>
                <w:sz w:val="17"/>
              </w:rPr>
              <w:t>{{TOTAL_TARE_KG}}</w:t>
            </w:r>
          </w:p>
        </w:tc>
      </w:tr>
      <w:tr>
        <w:trPr>
          <w:cantSplit/>
        </w:trPr>
        <w:tc>
          <w:tcPr>
            <w:tcW w:type="dxa" w:w="3061"/>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Geçerlilik</w:t>
            </w:r>
            <w:r>
              <w:rPr>
                <w:rFonts w:ascii="Tahoma" w:hAnsi="Tahoma" w:eastAsia="Tahoma"/>
                <w:b w:val="0"/>
                <w:i/>
                <w:color w:val="666666"/>
                <w:sz w:val="17"/>
              </w:rPr>
              <w:br/>
              <w:t>Validity</w:t>
            </w:r>
          </w:p>
        </w:tc>
        <w:tc>
          <w:tcPr>
            <w:tcW w:type="dxa" w:w="6804"/>
            <w:vAlign w:val="center"/>
            <w:tcMar>
              <w:top w:w="80" w:type="dxa"/>
              <w:start w:w="100" w:type="dxa"/>
              <w:bottom w:w="80" w:type="dxa"/>
              <w:end w:w="10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Yerine geçen revizyona veya yeniden değerlendirme tetikleyicisine kadar</w:t>
            </w:r>
            <w:r>
              <w:rPr>
                <w:rFonts w:ascii="Tahoma" w:hAnsi="Tahoma" w:eastAsia="Tahoma"/>
                <w:b w:val="0"/>
                <w:i/>
                <w:color w:val="666666"/>
                <w:sz w:val="17"/>
              </w:rPr>
              <w:br/>
              <w:t>Until superseded or a reassessment trigger occurs</w:t>
            </w:r>
          </w:p>
        </w:tc>
      </w:tr>
    </w:tbl>
    <w:p>
      <w:pPr>
        <w:spacing w:after="120" w:line="24" w:lineRule="auto"/>
      </w:pPr>
      <w:r>
        <w:rPr>
          <w:rFonts w:ascii="Tahoma" w:hAnsi="Tahoma" w:eastAsia="Tahoma"/>
          <w:b w:val="0"/>
          <w:i w:val="0"/>
          <w:color w:val="FFFFFF"/>
          <w:sz w:val="2"/>
        </w:rPr>
        <w:t xml:space="preserve"> </w:t>
      </w:r>
    </w:p>
    <w:p>
      <w:pPr>
        <w:spacing w:before="0" w:after="60" w:line="259" w:lineRule="auto"/>
      </w:pPr>
      <w:r>
        <w:rPr>
          <w:rFonts w:ascii="Tahoma" w:hAnsi="Tahoma" w:eastAsia="Tahoma"/>
          <w:b w:val="0"/>
          <w:i w:val="0"/>
          <w:color w:val="1F2937"/>
          <w:sz w:val="20"/>
        </w:rPr>
        <w:t>Ambalaj tasarımı, boyutu, ağırlığı, malzemesi, bileşenleri, sorumlu imalatçı veya uygulanabilir mevzuatta uygunluğu etkileyen değişiklik olduğunda bu beyan yeniden değerlendirilir.</w:t>
      </w:r>
      <w:r>
        <w:rPr>
          <w:rFonts w:ascii="Tahoma" w:hAnsi="Tahoma" w:eastAsia="Tahoma"/>
          <w:b w:val="0"/>
          <w:i/>
          <w:color w:val="666666"/>
          <w:sz w:val="20"/>
        </w:rPr>
        <w:br/>
        <w:t>This declaration is reassessed following a conformity-relevant change to packaging design, dimensions, weight, materials, components, responsible manufacturer or applicable legislation.</w:t>
      </w:r>
    </w:p>
    <w:tbl>
      <w:tblPr>
        <w:tblW w:type="auto" w:w="0"/>
        <w:jc w:val="center"/>
        <w:tblLayout w:type="fixed"/>
        <w:tblLook w:firstColumn="1" w:firstRow="1" w:lastColumn="0" w:lastRow="0" w:noHBand="0" w:noVBand="1" w:val="04A0"/>
      </w:tblPr>
      <w:tblGrid>
        <w:gridCol w:w="5131"/>
        <w:gridCol w:w="5131"/>
      </w:tblGrid>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Veriliş yeri ve tarihi</w:t>
            </w:r>
            <w:r>
              <w:rPr>
                <w:rFonts w:ascii="Tahoma" w:hAnsi="Tahoma" w:eastAsia="Tahoma"/>
                <w:b w:val="0"/>
                <w:i/>
                <w:color w:val="666666"/>
                <w:sz w:val="17"/>
              </w:rPr>
              <w:br/>
              <w:t>Place and date of issue</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Manisa / Türkiye  •  __________________</w:t>
            </w:r>
          </w:p>
        </w:tc>
      </w:tr>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 / görev / imza</w:t>
            </w:r>
            <w:r>
              <w:rPr>
                <w:rFonts w:ascii="Tahoma" w:hAnsi="Tahoma" w:eastAsia="Tahoma"/>
                <w:b w:val="0"/>
                <w:i/>
                <w:color w:val="666666"/>
                <w:sz w:val="17"/>
              </w:rPr>
              <w:br/>
              <w:t>Name / function / signature</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Ad / Name: ____________________   Görev / Function: ____________________</w:t>
              <w:br/>
              <w:t>İmza / Signature: _______________________________</w:t>
            </w:r>
          </w:p>
        </w:tc>
      </w:tr>
      <w:tr>
        <w:trPr>
          <w:cantSplit/>
        </w:trPr>
        <w:tc>
          <w:tcPr>
            <w:tcW w:type="dxa" w:w="3515"/>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shd w:fill="EAF2F8"/>
          </w:tcPr>
          <w:p>
            <w:pPr>
              <w:spacing w:before="0" w:after="0" w:line="240" w:lineRule="auto"/>
            </w:pPr>
            <w:r>
              <w:rPr>
                <w:rFonts w:ascii="Tahoma" w:hAnsi="Tahoma" w:eastAsia="Tahoma"/>
                <w:b w:val="0"/>
                <w:i w:val="0"/>
                <w:color w:val="1F2937"/>
                <w:sz w:val="17"/>
              </w:rPr>
            </w:r>
            <w:r>
              <w:rPr>
                <w:rFonts w:ascii="Tahoma" w:hAnsi="Tahoma" w:eastAsia="Tahoma"/>
                <w:b/>
                <w:i w:val="0"/>
                <w:color w:val="17365D"/>
                <w:sz w:val="17"/>
              </w:rPr>
              <w:t>Adına ve hesabına</w:t>
            </w:r>
            <w:r>
              <w:rPr>
                <w:rFonts w:ascii="Tahoma" w:hAnsi="Tahoma" w:eastAsia="Tahoma"/>
                <w:b w:val="0"/>
                <w:i/>
                <w:color w:val="666666"/>
                <w:sz w:val="17"/>
              </w:rPr>
              <w:br/>
              <w:t>Signed for and on behalf of</w:t>
            </w:r>
          </w:p>
        </w:tc>
        <w:tc>
          <w:tcPr>
            <w:tcW w:type="dxa" w:w="6804"/>
            <w:vAlign w:val="center"/>
            <w:tcMar>
              <w:top w:w="55" w:type="dxa"/>
              <w:start w:w="90" w:type="dxa"/>
              <w:bottom w:w="55" w:type="dxa"/>
              <w:end w:w="90" w:type="dxa"/>
            </w:tcMar>
            <w:tcBorders>
              <w:top w:val="single" w:sz="4" w:color="AAB7C4"/>
              <w:left w:val="single" w:sz="4" w:color="AAB7C4"/>
              <w:bottom w:val="single" w:sz="4" w:color="AAB7C4"/>
              <w:right w:val="single" w:sz="4" w:color="AAB7C4"/>
              <w:insideH w:val="single" w:sz="4" w:color="AAB7C4"/>
              <w:insideV w:val="single" w:sz="4" w:color="AAB7C4"/>
            </w:tcBorders>
          </w:tcPr>
          <w:p>
            <w:pPr>
              <w:spacing w:before="0" w:after="0" w:line="240" w:lineRule="auto"/>
            </w:pPr>
            <w:r>
              <w:rPr>
                <w:rFonts w:ascii="Tahoma" w:hAnsi="Tahoma" w:eastAsia="Tahoma"/>
                <w:b w:val="0"/>
                <w:i w:val="0"/>
                <w:color w:val="1F2937"/>
                <w:sz w:val="17"/>
              </w:rPr>
            </w:r>
            <w:r>
              <w:rPr>
                <w:rFonts w:ascii="Tahoma" w:hAnsi="Tahoma" w:eastAsia="Tahoma"/>
                <w:b w:val="0"/>
                <w:i w:val="0"/>
                <w:color w:val="1F2937"/>
                <w:sz w:val="17"/>
              </w:rPr>
              <w:t>İnci Akü Sanayi ve Ticaret A.Ş.</w:t>
            </w:r>
          </w:p>
        </w:tc>
      </w:tr>
    </w:tbl>
    <w:sectPr>
      <w:headerReference w:type="default" r:id="rId2"/>
      <w:footerReference w:type="default" r:id="rId3"/>
      <w:type w:val="nextPage"/>
      <w:pgSz w:w="11906" w:h="16838"/>
      <w:pgMar w:left="822" w:right="822" w:gutter="0" w:header="850" w:top="1729" w:footer="283" w:bottom="15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charset w:val="02"/>
    <w:family w:val="decorative"/>
    <w:pitch w:val="variable"/>
  </w:font>
  <w:font w:name="Courier New">
    <w:charset w:val="00"/>
    <w:family w:val="modern"/>
    <w:pitch w:val="default"/>
  </w:font>
  <w:font w:name="Wingdings">
    <w:charset w:val="00"/>
    <w:family w:val="decorative"/>
    <w:pitch w:val="variable"/>
  </w:font>
  <w:font w:name="Tahoma">
    <w:charset w:val="00"/>
    <w:family w:val="swiss"/>
    <w:pitch w:val="variable"/>
  </w:font>
  <w:font w:name="Liberation Sans">
    <w:altName w:val="Arial"/>
    <w:charset w:val="00"/>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ind w:left="-426" w:right="-568"/>
      <w:rPr/>
    </w:pPr>
    <w:r>
      <w:rPr>
        <w:rFonts w:cs="Helvetica" w:ascii="Helvetica" w:hAnsi="Helvetica"/>
        <w:b/>
        <w:color w:val="595959"/>
        <w:sz w:val="14"/>
        <w:szCs w:val="14"/>
        <w:lang w:val="en-US" w:eastAsia="en-US"/>
      </w:rPr>
      <w:drawing>
        <wp:inline distT="0" distB="0" distL="0" distR="0">
          <wp:extent cx="665480" cy="442595"/>
          <wp:effectExtent l="0" t="0" r="0" b="0"/>
          <wp:docPr id="2" name="Resi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
                  <pic:cNvPicPr>
                    <a:picLocks noChangeAspect="1" noChangeArrowheads="1"/>
                  </pic:cNvPicPr>
                </pic:nvPicPr>
                <pic:blipFill>
                  <a:blip r:embed="rId1"/>
                  <a:srcRect l="-12" t="-18" r="-12" b="-18"/>
                  <a:stretch>
                    <a:fillRect/>
                  </a:stretch>
                </pic:blipFill>
                <pic:spPr bwMode="auto">
                  <a:xfrm>
                    <a:off x="0" y="0"/>
                    <a:ext cx="665480" cy="442595"/>
                  </a:xfrm>
                  <a:prstGeom prst="rect">
                    <a:avLst/>
                  </a:prstGeom>
                  <a:noFill/>
                </pic:spPr>
              </pic:pic>
            </a:graphicData>
          </a:graphic>
        </wp:inline>
      </w:drawing>
    </w:r>
    <w:r>
      <w:rPr>
        <w:rFonts w:cs="Helvetica" w:ascii="Helvetica" w:hAnsi="Helvetica"/>
        <w:b/>
        <w:bCs/>
        <w:color w:val="595959"/>
        <w:sz w:val="14"/>
        <w:szCs w:val="14"/>
      </w:rPr>
      <w:tab/>
      <w:tab/>
      <w:tab/>
      <w:tab/>
      <w:tab/>
      <w:t xml:space="preserve"> </w:t>
      <w:tab/>
      <w:tab/>
      <w:t xml:space="preserve"> </w:t>
      <w:tab/>
      <w:t xml:space="preserve">                                 </w:t>
    </w:r>
    <w:r>
      <w:rPr>
        <w:rFonts w:cs="Helvetica" w:ascii="Helvetica" w:hAnsi="Helvetica"/>
        <w:b/>
        <w:color w:val="595959"/>
        <w:sz w:val="14"/>
        <w:szCs w:val="14"/>
        <w:lang w:val="en-US" w:eastAsia="en-US"/>
      </w:rPr>
      <w:drawing>
        <wp:inline distT="0" distB="0" distL="0" distR="0">
          <wp:extent cx="2232025" cy="664845"/>
          <wp:effectExtent l="0" t="0" r="0" b="0"/>
          <wp:docPr id="3"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1" descr=""/>
                  <pic:cNvPicPr>
                    <a:picLocks noChangeAspect="1" noChangeArrowheads="1"/>
                  </pic:cNvPicPr>
                </pic:nvPicPr>
                <pic:blipFill>
                  <a:blip r:embed="rId2"/>
                  <a:srcRect l="-16" t="-54" r="-16" b="-54"/>
                  <a:stretch>
                    <a:fillRect/>
                  </a:stretch>
                </pic:blipFill>
                <pic:spPr bwMode="auto">
                  <a:xfrm>
                    <a:off x="0" y="0"/>
                    <a:ext cx="2232025" cy="664845"/>
                  </a:xfrm>
                  <a:prstGeom prst="rect">
                    <a:avLst/>
                  </a:prstGeom>
                  <a:noFill/>
                </pic:spPr>
              </pic:pic>
            </a:graphicData>
          </a:graphic>
        </wp:inline>
      </w:drawing>
    </w:r>
    <w:r>
      <w:rPr>
        <w:rFonts w:cs="Helvetica" w:ascii="Helvetica" w:hAnsi="Helvetica"/>
        <w:b/>
        <w:bCs/>
        <w:color w:val="595959"/>
        <w:sz w:val="14"/>
        <w:szCs w:val="14"/>
      </w:rPr>
      <w:tab/>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026"/>
        <w:tab w:val="center" w:pos="4513" w:leader="none"/>
        <w:tab w:val="right" w:pos="10206" w:leader="none"/>
      </w:tabs>
      <w:jc w:val="right"/>
      <w:rPr>
        <w:lang w:val="en-US" w:eastAsia="en-US"/>
      </w:rPr>
    </w:pPr>
    <w:r>
      <w:rPr>
        <w:lang w:val="en-US" w:eastAsia="en-US"/>
      </w:rPr>
      <w:drawing>
        <wp:inline distT="0" distB="0" distL="0" distR="0">
          <wp:extent cx="1636395" cy="554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5" t="-16" r="-5" b="-16"/>
                  <a:stretch>
                    <a:fillRect/>
                  </a:stretch>
                </pic:blipFill>
                <pic:spPr bwMode="auto">
                  <a:xfrm>
                    <a:off x="0" y="0"/>
                    <a:ext cx="1636395" cy="554990"/>
                  </a:xfrm>
                  <a:prstGeom prst="rect">
                    <a:avLst/>
                  </a:prstGeom>
                  <a:noFill/>
                </pic:spPr>
              </pic:pic>
            </a:graphicData>
          </a:graphic>
        </wp:inline>
      </w:drawing>
    </w:r>
  </w:p>
</w:hdr>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9" w:before="0" w:after="80"/>
    </w:pPr>
    <w:rPr>
      <w:rFonts w:ascii="Tahoma" w:hAnsi="Tahoma" w:eastAsia="Tahoma" w:cs="Times New Roman"/>
      <w:color w:val="auto"/>
      <w:sz w:val="20"/>
      <w:szCs w:val="22"/>
      <w:lang w:val="tr-TR" w:bidi="ar-SA" w:eastAsia="zh-CN"/>
    </w:rPr>
  </w:style>
  <w:style w:type="character" w:styleId="WW8Num1z0">
    <w:name w:val="WW8Num1z0"/>
    <w:qFormat/>
    <w:rPr>
      <w:rFonts w:ascii="Tahoma" w:hAnsi="Tahoma" w:cs="Symbol" w:eastAsia="Tahoma"/>
    </w:rPr>
  </w:style>
  <w:style w:type="character" w:styleId="WW8Num1z1">
    <w:name w:val="WW8Num1z1"/>
    <w:qFormat/>
    <w:rPr>
      <w:rFonts w:ascii="Tahoma" w:hAnsi="Tahoma" w:cs="Courier New" w:eastAsia="Tahoma"/>
    </w:rPr>
  </w:style>
  <w:style w:type="character" w:styleId="WW8Num1z2">
    <w:name w:val="WW8Num1z2"/>
    <w:qFormat/>
    <w:rPr>
      <w:rFonts w:ascii="Tahoma" w:hAnsi="Tahoma" w:cs="Wingdings" w:eastAsia="Tahoma"/>
    </w:rPr>
  </w:style>
  <w:style w:type="character" w:styleId="VarsaylanParagrafYazTipi">
    <w:name w:val="Varsayılan Paragraf Yazı Tipi"/>
    <w:qFormat/>
    <w:rPr>
      <w:rFonts w:ascii="Tahoma" w:hAnsi="Tahoma" w:eastAsia="Tahoma"/>
    </w:rPr>
  </w:style>
  <w:style w:type="character" w:styleId="stbilgiChar">
    <w:name w:val="Üstbilgi Char"/>
    <w:qFormat/>
    <w:rPr>
      <w:rFonts w:cs="Times New Roman" w:ascii="Tahoma" w:hAnsi="Tahoma" w:eastAsia="Tahoma"/>
    </w:rPr>
  </w:style>
  <w:style w:type="character" w:styleId="AltbilgiChar">
    <w:name w:val="Altbilgi Char"/>
    <w:qFormat/>
    <w:rPr>
      <w:rFonts w:cs="Times New Roman" w:ascii="Tahoma" w:hAnsi="Tahoma" w:eastAsia="Tahoma"/>
    </w:rPr>
  </w:style>
  <w:style w:type="character" w:styleId="BalonMetniChar">
    <w:name w:val="Balon Metni Char"/>
    <w:qFormat/>
    <w:rPr>
      <w:rFonts w:ascii="Tahoma" w:hAnsi="Tahoma" w:cs="Tahoma" w:eastAsia="Tahoma"/>
      <w:sz w:val="16"/>
    </w:rPr>
  </w:style>
  <w:style w:type="character" w:styleId="Hyperlink">
    <w:name w:val="Hyperlink"/>
    <w:rPr>
      <w:rFonts w:ascii="Tahoma" w:hAnsi="Tahoma" w:eastAsia="Tahoma"/>
      <w:color w:val="0000FF"/>
      <w:u w:val="single"/>
    </w:rPr>
  </w:style>
  <w:style w:type="paragraph" w:styleId="Heading">
    <w:name w:val="Heading"/>
    <w:basedOn w:val="Normal"/>
    <w:next w:val="BodyText"/>
    <w:qFormat/>
    <w:pPr>
      <w:keepNext w:val="true"/>
      <w:spacing w:before="240" w:after="120"/>
    </w:pPr>
    <w:rPr>
      <w:rFonts w:ascii="Tahoma" w:hAnsi="Tahoma" w:eastAsia="Tahoma" w:cs="Lohit Devanagari"/>
      <w:sz w:val="28"/>
      <w:szCs w:val="28"/>
    </w:rPr>
  </w:style>
  <w:style w:type="paragraph" w:styleId="BodyText">
    <w:name w:val="Body Text"/>
    <w:basedOn w:val="Normal"/>
    <w:pPr>
      <w:spacing w:lineRule="auto" w:line="276" w:before="0" w:after="140"/>
    </w:pPr>
    <w:rPr>
      <w:rFonts w:ascii="Tahoma" w:hAnsi="Tahoma" w:eastAsia="Tahoma"/>
    </w:rPr>
  </w:style>
  <w:style w:type="paragraph" w:styleId="List">
    <w:name w:val="List"/>
    <w:basedOn w:val="BodyText"/>
    <w:pPr/>
    <w:rPr>
      <w:rFonts w:cs="Lohit Devanagari" w:ascii="Tahoma" w:hAnsi="Tahoma" w:eastAsia="Tahoma"/>
    </w:rPr>
  </w:style>
  <w:style w:type="paragraph" w:styleId="Caption">
    <w:name w:val="caption"/>
    <w:basedOn w:val="Normal"/>
    <w:qFormat/>
    <w:pPr>
      <w:suppressLineNumbers/>
      <w:spacing w:before="120" w:after="120"/>
    </w:pPr>
    <w:rPr>
      <w:rFonts w:cs="Lohit Devanagari" w:ascii="Tahoma" w:hAnsi="Tahoma" w:eastAsia="Tahoma"/>
      <w:i/>
      <w:iCs/>
      <w:sz w:val="24"/>
      <w:szCs w:val="24"/>
    </w:rPr>
  </w:style>
  <w:style w:type="paragraph" w:styleId="Index">
    <w:name w:val="Index"/>
    <w:basedOn w:val="Normal"/>
    <w:qFormat/>
    <w:pPr>
      <w:suppressLineNumbers/>
    </w:pPr>
    <w:rPr>
      <w:rFonts w:cs="Lohit Devanagari" w:ascii="Tahoma" w:hAnsi="Tahoma" w:eastAsia="Tahoma"/>
    </w:rPr>
  </w:style>
  <w:style w:type="paragraph" w:styleId="HeaderandFooter">
    <w:name w:val="Header and Footer"/>
    <w:basedOn w:val="Normal"/>
    <w:qFormat/>
    <w:pPr>
      <w:suppressLineNumbers/>
      <w:tabs>
        <w:tab w:val="clear" w:pos="708"/>
        <w:tab w:val="center" w:pos="4819" w:leader="none"/>
        <w:tab w:val="right" w:pos="9638" w:leader="none"/>
      </w:tabs>
    </w:pPr>
    <w:rPr>
      <w:rFonts w:ascii="Tahoma" w:hAnsi="Tahoma" w:eastAsia="Tahoma"/>
    </w:rPr>
  </w:style>
  <w:style w:type="paragraph" w:styleId="Header">
    <w:name w:val="header"/>
    <w:basedOn w:val="Normal"/>
    <w:pPr>
      <w:tabs>
        <w:tab w:val="clear" w:pos="708"/>
        <w:tab w:val="center" w:pos="4513" w:leader="none"/>
        <w:tab w:val="right" w:pos="9026" w:leader="none"/>
      </w:tabs>
      <w:spacing w:lineRule="auto" w:line="240" w:before="0" w:after="0"/>
    </w:pPr>
    <w:rPr>
      <w:rFonts w:ascii="Tahoma" w:hAnsi="Tahoma" w:eastAsia="Tahoma"/>
      <w:sz w:val="20"/>
      <w:szCs w:val="20"/>
      <w:lang w:val="en-US"/>
    </w:rPr>
  </w:style>
  <w:style w:type="paragraph" w:styleId="Footer">
    <w:name w:val="footer"/>
    <w:basedOn w:val="Normal"/>
    <w:pPr>
      <w:tabs>
        <w:tab w:val="clear" w:pos="708"/>
        <w:tab w:val="center" w:pos="4513" w:leader="none"/>
        <w:tab w:val="right" w:pos="9026" w:leader="none"/>
      </w:tabs>
      <w:spacing w:lineRule="auto" w:line="240" w:before="0" w:after="0"/>
    </w:pPr>
    <w:rPr>
      <w:rFonts w:ascii="Tahoma" w:hAnsi="Tahoma" w:eastAsia="Tahoma"/>
      <w:sz w:val="20"/>
      <w:szCs w:val="20"/>
      <w:lang w:val="en-US"/>
    </w:rPr>
  </w:style>
  <w:style w:type="paragraph" w:styleId="BalonMetni">
    <w:name w:val="Balon Metni"/>
    <w:basedOn w:val="Normal"/>
    <w:qFormat/>
    <w:pPr>
      <w:spacing w:lineRule="auto" w:line="240" w:before="0" w:after="0"/>
    </w:pPr>
    <w:rPr>
      <w:rFonts w:ascii="Tahoma" w:hAnsi="Tahoma" w:cs="Tahoma" w:eastAsia="Tahoma"/>
      <w:sz w:val="16"/>
      <w:szCs w:val="20"/>
      <w:lang w:val="en-U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C:\Program Files\SAP\FrontEnd\sapgui\wwi\wwidispl.dot</Template>
  <TotalTime>12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2026-06-12T11:25:00Z</dcterms:created>
  <dc:creator>İnci Akü Sanayi ve Ticaret A.Ş.</dc:creator>
  <dc:description/>
  <cp:keywords/>
  <dc:language>en-US</dc:language>
  <cp:lastModifiedBy>İnci Akü Sanayi ve Ticaret A.Ş.</cp:lastModifiedBy>
  <cp:lastPrinted>2015-10-08T11:53:00Z</cp:lastPrinted>
  <dcterms:modified xsi:type="dcterms:W3CDTF">2026-06-16T17:29:00Z</dcterms:modified>
  <cp:revision>7</cp:revision>
  <dc:subject/>
  <dc:title/>
</cp:coreProperties>
</file>