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ANALYSTLAB AFRICA</w:t>
      </w:r>
    </w:p>
    <w:p>
      <w:pPr>
        <w:spacing w:after="100"/>
        <w:jc w:val="center"/>
      </w:pPr>
      <w:r>
        <w:t xml:space="preserve">Machine Learning Internship Programme</w:t>
      </w:r>
    </w:p>
    <w:p>
      <w:pPr>
        <w:pStyle w:val="Heading1"/>
        <w:spacing w:after="300"/>
        <w:jc w:val="center"/>
      </w:pPr>
      <w:r>
        <w:t xml:space="preserve">Dataset Inspection Report</w:t>
      </w:r>
    </w:p>
    <w:p>
      <w:pPr>
        <w:pStyle w:val="Heading1"/>
        <w:spacing w:after="150" w:before="300"/>
      </w:pPr>
      <w:r>
        <w:t xml:space="preserve">1. Dataset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Kaggle — Telco Customer Churn (blastchar/telco-customer-churn)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Rows (customers)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7,043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Columns (fields)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Unit of observation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One row per customer, identified by customerID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Target variable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Churn (Yes / No)</w:t>
            </w:r>
          </w:p>
        </w:tc>
      </w:tr>
    </w:tbl>
    <w:p>
      <w:pPr>
        <w:pStyle w:val="Heading1"/>
        <w:spacing w:after="150" w:before="300"/>
      </w:pPr>
      <w:r>
        <w:t xml:space="preserve">2. Data Types</w:t>
      </w:r>
    </w:p>
    <w:p>
      <w:pPr>
        <w:spacing w:after="120"/>
      </w:pPr>
      <w:r>
        <w:t xml:space="preserve">The 21 columns break down as follows: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69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Columns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Identifier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customerID (string, unique, no predictive value)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Numeric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SeniorCitizen (0/1 flag), tenure (integer, months), MonthlyCharges (float), TotalCharges (stored as text — see Section 3)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Categorical (binary)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gender, Partner, Dependents, PhoneService, PaperlessBilling, Churn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Categorical (multi-class)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MultipleLines, InternetService, OnlineSecurity, OnlineBackup, DeviceProtection, TechSupport, StreamingTV, StreamingMovies, Contract, PaymentMethod</w:t>
            </w:r>
          </w:p>
        </w:tc>
      </w:tr>
    </w:tbl>
    <w:p>
      <w:pPr>
        <w:pStyle w:val="Heading1"/>
        <w:spacing w:after="150" w:before="300"/>
      </w:pPr>
      <w:r>
        <w:t xml:space="preserve">3. Missing Values</w:t>
      </w:r>
    </w:p>
    <w:p>
      <w:pPr>
        <w:spacing w:after="120"/>
      </w:pPr>
      <w:r>
        <w:t xml:space="preserve">A direct null check (df.isnull().sum()) initially reports zero missing values across all 21 columns. This is misleading: TotalCharges is loaded as a text column, and 11 rows contain a blank string rather than a number. Converting TotalCharges to numeric with coercion reveals 11 missing values.</w:t>
      </w:r>
    </w:p>
    <w:p>
      <w:pPr>
        <w:spacing w:after="120"/>
      </w:pPr>
      <w:r>
        <w:t xml:space="preserve">Investigating these 11 rows shows every one of them has tenure = 0 — these are brand-new customers who have not yet completed a full billing cycle, so no total charge has accrued yet. This is a structural, explainable gap rather than random missing data.</w:t>
      </w:r>
    </w:p>
    <w:p>
      <w:pPr>
        <w:spacing w:after="120"/>
      </w:pPr>
      <w:r>
        <w:t xml:space="preserve">Recommendation: impute these 11 TotalCharges values as 0 (or equivalently MonthlyCharges × tenure), rather than dropping the rows, since they still carry a valid Churn label and represent a real (and arguably high-risk, since new) customer segment.</w:t>
      </w:r>
    </w:p>
    <w:p>
      <w:pPr>
        <w:pStyle w:val="Heading1"/>
        <w:spacing w:after="150" w:before="300"/>
      </w:pPr>
      <w:r>
        <w:t xml:space="preserve">4. Duplicates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duplicated rows: 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customerID values: 0</w:t>
      </w:r>
    </w:p>
    <w:p>
      <w:pPr>
        <w:spacing w:after="120"/>
      </w:pPr>
      <w:r>
        <w:t xml:space="preserve">No duplicate-record cleanup is required.</w:t>
      </w:r>
    </w:p>
    <w:p>
      <w:pPr>
        <w:pStyle w:val="Heading1"/>
        <w:spacing w:after="150" w:before="300"/>
      </w:pPr>
      <w:r>
        <w:t xml:space="preserve">5. Target Variable Distribution (Class Balance)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30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32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Percentage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 (did not churn)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5,174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73.5%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Yes (churned)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1,869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26.5%</w:t>
            </w:r>
          </w:p>
        </w:tc>
      </w:tr>
    </w:tbl>
    <w:p>
      <w:pPr>
        <w:spacing w:after="120"/>
      </w:pPr>
      <w:r>
        <w:t xml:space="preserve">The dataset is moderately imbalanced (roughly 3:1). This does not block modelling, but it does mean plain accuracy is a poor evaluation metric, and techniques such as class weighting, stratified sampling, or resampling (e.g. SMOTE) should be considered during model development.</w:t>
      </w:r>
    </w:p>
    <w:p>
      <w:pPr>
        <w:pStyle w:val="Heading1"/>
        <w:spacing w:after="150" w:before="300"/>
      </w:pPr>
      <w:r>
        <w:t xml:space="preserve">6. Categorical Field Value Checks</w:t>
      </w:r>
    </w:p>
    <w:p>
      <w:pPr>
        <w:spacing w:after="120"/>
      </w:pPr>
      <w:r>
        <w:t xml:space="preserve">Spot checks on key categorical fields confirm clean, consistent category labels with no stray whitespace, casing inconsistencies, or unexpected values: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gender: Female, Male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Contract: Month-to-month, One year, Two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InternetService: DSL, Fiber optic, 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PaymentMethod: Electronic check, Mailed check, Bank transfer (automatic), Credit card (automatic)</w:t>
      </w:r>
    </w:p>
    <w:p>
      <w:pPr>
        <w:pStyle w:val="Heading1"/>
        <w:spacing w:after="150" w:before="300"/>
      </w:pPr>
      <w:r>
        <w:t xml:space="preserve">7. Summary of Required Preprocessing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 TotalCharges from text to numeric; impute the 11 resulting NaNs as 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Drop customerID before modelling (identifier, not a feature).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One-hot / dummy-encode multi-class categorical fields; binary-encode Yes/No and gender fields.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numeric fields (tenure, MonthlyCharges, TotalCharges) for algorithms sensitive to feature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 stratified train/test split to preserve the ~73.5% / 26.5% class ratio in both 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Address class imbalance explicitly at the modelling stage (class weights and/or resampling).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2026-08-09T08:33:25.212Z</dcterms:created>
  <dcterms:modified xsi:type="dcterms:W3CDTF">2026-08-09T08:33:25.212Z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