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EC" w:rsidRPr="00290993" w:rsidRDefault="00235FDE" w:rsidP="002909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93">
        <w:rPr>
          <w:rFonts w:ascii="Times New Roman" w:hAnsi="Times New Roman" w:cs="Times New Roman"/>
          <w:b/>
          <w:sz w:val="24"/>
          <w:szCs w:val="24"/>
        </w:rPr>
        <w:t>THÔNG TIN CẦN BIẾT VỚI SINH VIÊN Ở TẠI FUHL</w:t>
      </w:r>
    </w:p>
    <w:p w:rsidR="00235FDE" w:rsidRPr="00290993" w:rsidRDefault="004E19A9" w:rsidP="0023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67B">
        <w:rPr>
          <w:rFonts w:ascii="Times New Roman" w:hAnsi="Times New Roman" w:cs="Times New Roman"/>
          <w:b/>
          <w:sz w:val="24"/>
          <w:szCs w:val="24"/>
        </w:rPr>
        <w:t xml:space="preserve"> Ký túc xá</w:t>
      </w:r>
      <w:r w:rsidR="00235FDE" w:rsidRPr="00290993">
        <w:rPr>
          <w:rFonts w:ascii="Times New Roman" w:hAnsi="Times New Roman" w:cs="Times New Roman"/>
          <w:b/>
          <w:sz w:val="24"/>
          <w:szCs w:val="24"/>
        </w:rPr>
        <w:t>.</w:t>
      </w:r>
    </w:p>
    <w:p w:rsidR="00235FDE" w:rsidRPr="00290993" w:rsidRDefault="00701353" w:rsidP="00235F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09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35FDE" w:rsidRPr="00290993">
        <w:rPr>
          <w:rFonts w:ascii="Times New Roman" w:hAnsi="Times New Roman" w:cs="Times New Roman"/>
          <w:b/>
          <w:i/>
          <w:sz w:val="24"/>
          <w:szCs w:val="24"/>
        </w:rPr>
        <w:t>Thông tin chung:</w:t>
      </w:r>
    </w:p>
    <w:p w:rsidR="00235FDE" w:rsidRPr="00000B5F" w:rsidRDefault="004E19A9" w:rsidP="004E19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nộp đơn đăng ký và nộp tiề</w:t>
      </w:r>
      <w:r w:rsidR="004D294A">
        <w:rPr>
          <w:rFonts w:ascii="Times New Roman" w:hAnsi="Times New Roman" w:cs="Times New Roman"/>
          <w:sz w:val="24"/>
          <w:szCs w:val="24"/>
        </w:rPr>
        <w:t>n KTX</w:t>
      </w:r>
      <w:r>
        <w:rPr>
          <w:rFonts w:ascii="Times New Roman" w:hAnsi="Times New Roman" w:cs="Times New Roman"/>
          <w:sz w:val="24"/>
          <w:szCs w:val="24"/>
        </w:rPr>
        <w:t xml:space="preserve"> được coi </w:t>
      </w:r>
      <w:r w:rsidR="00835907">
        <w:rPr>
          <w:rFonts w:ascii="Times New Roman" w:hAnsi="Times New Roman" w:cs="Times New Roman"/>
          <w:sz w:val="24"/>
          <w:szCs w:val="24"/>
        </w:rPr>
        <w:t>là C</w:t>
      </w:r>
      <w:r>
        <w:rPr>
          <w:rFonts w:ascii="Times New Roman" w:hAnsi="Times New Roman" w:cs="Times New Roman"/>
          <w:sz w:val="24"/>
          <w:szCs w:val="24"/>
        </w:rPr>
        <w:t xml:space="preserve">am kết </w:t>
      </w:r>
      <w:r w:rsidR="00235FDE" w:rsidRPr="00000B5F">
        <w:rPr>
          <w:rFonts w:ascii="Times New Roman" w:hAnsi="Times New Roman" w:cs="Times New Roman"/>
          <w:sz w:val="24"/>
          <w:szCs w:val="24"/>
        </w:rPr>
        <w:t>KTX được ký giữa Phòng</w:t>
      </w:r>
      <w:r w:rsidR="00156D56">
        <w:rPr>
          <w:rFonts w:ascii="Times New Roman" w:hAnsi="Times New Roman" w:cs="Times New Roman"/>
          <w:sz w:val="24"/>
          <w:szCs w:val="24"/>
        </w:rPr>
        <w:t xml:space="preserve"> Quản lý ký túc xá</w:t>
      </w:r>
      <w:r w:rsidR="00235FDE" w:rsidRPr="00000B5F">
        <w:rPr>
          <w:rFonts w:ascii="Times New Roman" w:hAnsi="Times New Roman" w:cs="Times New Roman"/>
          <w:sz w:val="24"/>
          <w:szCs w:val="24"/>
        </w:rPr>
        <w:t xml:space="preserve"> với cá nhân từng sinh viên khi tới ở tại KTX FUHL.</w:t>
      </w:r>
    </w:p>
    <w:p w:rsidR="00235FDE" w:rsidRPr="00961502" w:rsidRDefault="00235FDE" w:rsidP="00C528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1502">
        <w:rPr>
          <w:rFonts w:ascii="Times New Roman" w:hAnsi="Times New Roman" w:cs="Times New Roman"/>
          <w:sz w:val="24"/>
          <w:szCs w:val="24"/>
        </w:rPr>
        <w:t>Thời hạ</w:t>
      </w:r>
      <w:r w:rsidR="004E19A9" w:rsidRPr="00961502">
        <w:rPr>
          <w:rFonts w:ascii="Times New Roman" w:hAnsi="Times New Roman" w:cs="Times New Roman"/>
          <w:sz w:val="24"/>
          <w:szCs w:val="24"/>
        </w:rPr>
        <w:t>n</w:t>
      </w:r>
      <w:r w:rsidR="00961502" w:rsidRPr="00961502">
        <w:rPr>
          <w:rFonts w:ascii="Times New Roman" w:hAnsi="Times New Roman" w:cs="Times New Roman"/>
          <w:sz w:val="24"/>
          <w:szCs w:val="24"/>
        </w:rPr>
        <w:t xml:space="preserve"> được tính theo từng</w:t>
      </w:r>
      <w:r w:rsidR="004E19A9" w:rsidRPr="00961502">
        <w:rPr>
          <w:rFonts w:ascii="Times New Roman" w:hAnsi="Times New Roman" w:cs="Times New Roman"/>
          <w:sz w:val="24"/>
          <w:szCs w:val="24"/>
        </w:rPr>
        <w:t xml:space="preserve"> kỳ</w:t>
      </w:r>
      <w:r w:rsidR="00961502" w:rsidRPr="00961502">
        <w:rPr>
          <w:rFonts w:ascii="Times New Roman" w:hAnsi="Times New Roman" w:cs="Times New Roman"/>
          <w:sz w:val="24"/>
          <w:szCs w:val="24"/>
        </w:rPr>
        <w:t xml:space="preserve"> học</w:t>
      </w:r>
      <w:r w:rsidR="004E19A9" w:rsidRPr="00961502">
        <w:rPr>
          <w:rFonts w:ascii="Times New Roman" w:hAnsi="Times New Roman" w:cs="Times New Roman"/>
          <w:sz w:val="24"/>
          <w:szCs w:val="24"/>
        </w:rPr>
        <w:t>, sau 1 kỳ mà sinh viên không đóng tiên kỳ tiếp đúng hạ</w:t>
      </w:r>
      <w:r w:rsidR="00156D56">
        <w:rPr>
          <w:rFonts w:ascii="Times New Roman" w:hAnsi="Times New Roman" w:cs="Times New Roman"/>
          <w:sz w:val="24"/>
          <w:szCs w:val="24"/>
        </w:rPr>
        <w:t>n P</w:t>
      </w:r>
      <w:r w:rsidR="004E19A9" w:rsidRPr="00961502">
        <w:rPr>
          <w:rFonts w:ascii="Times New Roman" w:hAnsi="Times New Roman" w:cs="Times New Roman"/>
          <w:sz w:val="24"/>
          <w:szCs w:val="24"/>
        </w:rPr>
        <w:t>hòng</w:t>
      </w:r>
      <w:r w:rsidR="00156D56" w:rsidRPr="00156D56">
        <w:rPr>
          <w:rFonts w:ascii="Times New Roman" w:hAnsi="Times New Roman" w:cs="Times New Roman"/>
          <w:sz w:val="24"/>
          <w:szCs w:val="24"/>
        </w:rPr>
        <w:t xml:space="preserve"> </w:t>
      </w:r>
      <w:r w:rsidR="00156D56">
        <w:rPr>
          <w:rFonts w:ascii="Times New Roman" w:hAnsi="Times New Roman" w:cs="Times New Roman"/>
          <w:sz w:val="24"/>
          <w:szCs w:val="24"/>
        </w:rPr>
        <w:t>Quản lý ký túc xá</w:t>
      </w:r>
      <w:r w:rsidR="004E19A9" w:rsidRPr="00961502">
        <w:rPr>
          <w:rFonts w:ascii="Times New Roman" w:hAnsi="Times New Roman" w:cs="Times New Roman"/>
          <w:sz w:val="24"/>
          <w:szCs w:val="24"/>
        </w:rPr>
        <w:t xml:space="preserve"> </w:t>
      </w:r>
      <w:r w:rsidRPr="00961502">
        <w:rPr>
          <w:rFonts w:ascii="Times New Roman" w:hAnsi="Times New Roman" w:cs="Times New Roman"/>
          <w:sz w:val="24"/>
          <w:szCs w:val="24"/>
        </w:rPr>
        <w:t>sẽ</w:t>
      </w:r>
      <w:r w:rsidR="00961502" w:rsidRPr="00961502">
        <w:rPr>
          <w:rFonts w:ascii="Times New Roman" w:hAnsi="Times New Roman" w:cs="Times New Roman"/>
          <w:sz w:val="24"/>
          <w:szCs w:val="24"/>
        </w:rPr>
        <w:t xml:space="preserve"> lập bi</w:t>
      </w:r>
      <w:r w:rsidR="0057478A">
        <w:rPr>
          <w:rFonts w:ascii="Times New Roman" w:hAnsi="Times New Roman" w:cs="Times New Roman"/>
          <w:sz w:val="24"/>
          <w:szCs w:val="24"/>
        </w:rPr>
        <w:t>ê</w:t>
      </w:r>
      <w:r w:rsidR="00961502" w:rsidRPr="00961502">
        <w:rPr>
          <w:rFonts w:ascii="Times New Roman" w:hAnsi="Times New Roman" w:cs="Times New Roman"/>
          <w:sz w:val="24"/>
          <w:szCs w:val="24"/>
        </w:rPr>
        <w:t>n bản</w:t>
      </w:r>
      <w:r w:rsidR="00901478">
        <w:rPr>
          <w:rFonts w:ascii="Times New Roman" w:hAnsi="Times New Roman" w:cs="Times New Roman"/>
          <w:sz w:val="24"/>
          <w:szCs w:val="24"/>
        </w:rPr>
        <w:t xml:space="preserve"> xử lý và</w:t>
      </w:r>
      <w:r w:rsidRPr="00961502">
        <w:rPr>
          <w:rFonts w:ascii="Times New Roman" w:hAnsi="Times New Roman" w:cs="Times New Roman"/>
          <w:sz w:val="24"/>
          <w:szCs w:val="24"/>
        </w:rPr>
        <w:t xml:space="preserve"> </w:t>
      </w:r>
      <w:r w:rsidR="00961502" w:rsidRPr="00961502">
        <w:rPr>
          <w:rFonts w:ascii="Times New Roman" w:hAnsi="Times New Roman" w:cs="Times New Roman"/>
          <w:sz w:val="24"/>
          <w:szCs w:val="24"/>
        </w:rPr>
        <w:t>thu lại phòng</w:t>
      </w:r>
      <w:r w:rsidR="0057478A">
        <w:rPr>
          <w:rFonts w:ascii="Times New Roman" w:hAnsi="Times New Roman" w:cs="Times New Roman"/>
          <w:sz w:val="24"/>
          <w:szCs w:val="24"/>
        </w:rPr>
        <w:t xml:space="preserve"> nếu cần.</w:t>
      </w:r>
    </w:p>
    <w:p w:rsidR="00C52834" w:rsidRDefault="00235FDE" w:rsidP="00C528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1502">
        <w:rPr>
          <w:rFonts w:ascii="Times New Roman" w:hAnsi="Times New Roman" w:cs="Times New Roman"/>
          <w:sz w:val="24"/>
          <w:szCs w:val="24"/>
        </w:rPr>
        <w:t xml:space="preserve">Thông tin tài chính: Hiện </w:t>
      </w:r>
      <w:r w:rsidR="00156D56">
        <w:rPr>
          <w:rFonts w:ascii="Times New Roman" w:hAnsi="Times New Roman" w:cs="Times New Roman"/>
          <w:sz w:val="24"/>
          <w:szCs w:val="24"/>
        </w:rPr>
        <w:t>Quản lý ký túc xá</w:t>
      </w:r>
      <w:r w:rsidR="00156D56" w:rsidRPr="00000B5F">
        <w:rPr>
          <w:rFonts w:ascii="Times New Roman" w:hAnsi="Times New Roman" w:cs="Times New Roman"/>
          <w:sz w:val="24"/>
          <w:szCs w:val="24"/>
        </w:rPr>
        <w:t xml:space="preserve"> </w:t>
      </w:r>
      <w:r w:rsidRPr="00961502">
        <w:rPr>
          <w:rFonts w:ascii="Times New Roman" w:hAnsi="Times New Roman" w:cs="Times New Roman"/>
          <w:sz w:val="24"/>
          <w:szCs w:val="24"/>
        </w:rPr>
        <w:t>đang áp dụng các mức phí tương ứng với các hạ</w:t>
      </w:r>
      <w:r w:rsidR="0015771D" w:rsidRPr="00961502">
        <w:rPr>
          <w:rFonts w:ascii="Times New Roman" w:hAnsi="Times New Roman" w:cs="Times New Roman"/>
          <w:sz w:val="24"/>
          <w:szCs w:val="24"/>
        </w:rPr>
        <w:t>ng phòng (</w:t>
      </w:r>
      <w:r w:rsidR="0015771D" w:rsidRPr="0074278C">
        <w:rPr>
          <w:rFonts w:ascii="Times New Roman" w:hAnsi="Times New Roman" w:cs="Times New Roman"/>
          <w:i/>
          <w:sz w:val="24"/>
          <w:szCs w:val="24"/>
        </w:rPr>
        <w:t>xem tạ</w:t>
      </w:r>
      <w:r w:rsidR="00A72F98" w:rsidRPr="0074278C">
        <w:rPr>
          <w:rFonts w:ascii="Times New Roman" w:hAnsi="Times New Roman" w:cs="Times New Roman"/>
          <w:i/>
          <w:sz w:val="24"/>
          <w:szCs w:val="24"/>
        </w:rPr>
        <w:t>i biểu phí các dịch vụ tại FUHL</w:t>
      </w:r>
      <w:r w:rsidR="0015771D" w:rsidRPr="00961502">
        <w:rPr>
          <w:rFonts w:ascii="Times New Roman" w:hAnsi="Times New Roman" w:cs="Times New Roman"/>
          <w:sz w:val="24"/>
          <w:szCs w:val="24"/>
        </w:rPr>
        <w:t>).</w:t>
      </w:r>
    </w:p>
    <w:p w:rsidR="00C52834" w:rsidRDefault="00DA22C3" w:rsidP="004D2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Hết kỳ sinh viên không có nhu cầu ở kỳ tiếp theo sẽ phải làm thủ tục trả phòng.</w:t>
      </w:r>
    </w:p>
    <w:p w:rsidR="00F966DE" w:rsidRPr="004D294A" w:rsidRDefault="00F966DE" w:rsidP="004D29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Liên hệ: Phòng trực ktx: ĐT: 0466805913, Quầy dịch vụ : </w:t>
      </w:r>
      <w:r w:rsidR="008D7CBB">
        <w:rPr>
          <w:rFonts w:ascii="Times New Roman" w:hAnsi="Times New Roman" w:cs="Times New Roman"/>
          <w:sz w:val="24"/>
          <w:szCs w:val="24"/>
        </w:rPr>
        <w:t xml:space="preserve">ĐT </w:t>
      </w:r>
      <w:r>
        <w:rPr>
          <w:rFonts w:ascii="Times New Roman" w:hAnsi="Times New Roman" w:cs="Times New Roman"/>
          <w:sz w:val="24"/>
          <w:szCs w:val="24"/>
        </w:rPr>
        <w:t>0466823673</w:t>
      </w:r>
    </w:p>
    <w:p w:rsidR="00000B5F" w:rsidRPr="00290993" w:rsidRDefault="00701353" w:rsidP="00CA05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09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00B5F" w:rsidRPr="00290993">
        <w:rPr>
          <w:rFonts w:ascii="Times New Roman" w:hAnsi="Times New Roman" w:cs="Times New Roman"/>
          <w:b/>
          <w:i/>
          <w:sz w:val="24"/>
          <w:szCs w:val="24"/>
        </w:rPr>
        <w:t>Khái niệm các đơn vị tại ký túc xá:</w:t>
      </w:r>
    </w:p>
    <w:p w:rsidR="00000B5F" w:rsidRPr="00000B5F" w:rsidRDefault="00000B5F" w:rsidP="00000B5F">
      <w:pPr>
        <w:pStyle w:val="Refer"/>
        <w:numPr>
          <w:ilvl w:val="0"/>
          <w:numId w:val="7"/>
        </w:numPr>
        <w:spacing w:after="0" w:line="312" w:lineRule="auto"/>
        <w:ind w:left="2184"/>
        <w:rPr>
          <w:rFonts w:ascii="Times New Roman" w:hAnsi="Times New Roman"/>
          <w:szCs w:val="24"/>
        </w:rPr>
      </w:pPr>
      <w:proofErr w:type="spellStart"/>
      <w:r w:rsidRPr="00000B5F">
        <w:rPr>
          <w:rFonts w:ascii="Times New Roman" w:hAnsi="Times New Roman"/>
          <w:szCs w:val="24"/>
        </w:rPr>
        <w:t>Phòng</w:t>
      </w:r>
      <w:proofErr w:type="spellEnd"/>
      <w:r w:rsidRPr="00000B5F">
        <w:rPr>
          <w:rFonts w:ascii="Times New Roman" w:hAnsi="Times New Roman"/>
          <w:szCs w:val="24"/>
        </w:rPr>
        <w:t xml:space="preserve"> ở: </w:t>
      </w:r>
      <w:proofErr w:type="spellStart"/>
      <w:r w:rsidRPr="00000B5F">
        <w:rPr>
          <w:rFonts w:ascii="Times New Roman" w:hAnsi="Times New Roman"/>
          <w:szCs w:val="24"/>
        </w:rPr>
        <w:t>là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một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không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gian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được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thiết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kế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tiêu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chuẩn</w:t>
      </w:r>
      <w:proofErr w:type="spellEnd"/>
      <w:r w:rsidRPr="00000B5F">
        <w:rPr>
          <w:rFonts w:ascii="Times New Roman" w:hAnsi="Times New Roman"/>
          <w:szCs w:val="24"/>
        </w:rPr>
        <w:t xml:space="preserve">, </w:t>
      </w:r>
      <w:proofErr w:type="spellStart"/>
      <w:r w:rsidRPr="00000B5F">
        <w:rPr>
          <w:rFonts w:ascii="Times New Roman" w:hAnsi="Times New Roman"/>
          <w:szCs w:val="24"/>
        </w:rPr>
        <w:t>phục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vụ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nhu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cầu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sinh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sống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và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học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tập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của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học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sinh</w:t>
      </w:r>
      <w:proofErr w:type="spellEnd"/>
      <w:r w:rsidRPr="00000B5F">
        <w:rPr>
          <w:rFonts w:ascii="Times New Roman" w:hAnsi="Times New Roman"/>
          <w:szCs w:val="24"/>
        </w:rPr>
        <w:t xml:space="preserve"> – </w:t>
      </w:r>
      <w:proofErr w:type="spellStart"/>
      <w:r w:rsidRPr="00000B5F">
        <w:rPr>
          <w:rFonts w:ascii="Times New Roman" w:hAnsi="Times New Roman"/>
          <w:szCs w:val="24"/>
        </w:rPr>
        <w:t>sinh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viên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và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cán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bộ</w:t>
      </w:r>
      <w:proofErr w:type="spellEnd"/>
      <w:r w:rsidRPr="00000B5F">
        <w:rPr>
          <w:rFonts w:ascii="Times New Roman" w:hAnsi="Times New Roman"/>
          <w:szCs w:val="24"/>
        </w:rPr>
        <w:t xml:space="preserve">, </w:t>
      </w:r>
      <w:proofErr w:type="spellStart"/>
      <w:r w:rsidRPr="00000B5F">
        <w:rPr>
          <w:rFonts w:ascii="Times New Roman" w:hAnsi="Times New Roman"/>
          <w:szCs w:val="24"/>
        </w:rPr>
        <w:t>giảng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viên</w:t>
      </w:r>
      <w:proofErr w:type="spellEnd"/>
      <w:r w:rsidRPr="00000B5F">
        <w:rPr>
          <w:rFonts w:ascii="Times New Roman" w:hAnsi="Times New Roman"/>
          <w:szCs w:val="24"/>
        </w:rPr>
        <w:t xml:space="preserve">. Ở KTX FUHL </w:t>
      </w:r>
      <w:proofErr w:type="spellStart"/>
      <w:r w:rsidRPr="00000B5F">
        <w:rPr>
          <w:rFonts w:ascii="Times New Roman" w:hAnsi="Times New Roman"/>
          <w:szCs w:val="24"/>
        </w:rPr>
        <w:t>có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các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loạ</w:t>
      </w:r>
      <w:r w:rsidR="006E2A9A">
        <w:rPr>
          <w:rFonts w:ascii="Times New Roman" w:hAnsi="Times New Roman"/>
          <w:szCs w:val="24"/>
        </w:rPr>
        <w:t>i</w:t>
      </w:r>
      <w:proofErr w:type="spellEnd"/>
      <w:r w:rsidR="006E2A9A">
        <w:rPr>
          <w:rFonts w:ascii="Times New Roman" w:hAnsi="Times New Roman"/>
          <w:szCs w:val="24"/>
        </w:rPr>
        <w:t xml:space="preserve"> </w:t>
      </w:r>
      <w:proofErr w:type="spellStart"/>
      <w:r w:rsidR="006E2A9A">
        <w:rPr>
          <w:rFonts w:ascii="Times New Roman" w:hAnsi="Times New Roman"/>
          <w:szCs w:val="24"/>
        </w:rPr>
        <w:t>phòng</w:t>
      </w:r>
      <w:proofErr w:type="spellEnd"/>
      <w:r w:rsidR="006E2A9A">
        <w:rPr>
          <w:rFonts w:ascii="Times New Roman" w:hAnsi="Times New Roman"/>
          <w:szCs w:val="24"/>
        </w:rPr>
        <w:t xml:space="preserve"> </w:t>
      </w:r>
      <w:proofErr w:type="spellStart"/>
      <w:r w:rsidR="006E2A9A">
        <w:rPr>
          <w:rFonts w:ascii="Times New Roman" w:hAnsi="Times New Roman"/>
          <w:szCs w:val="24"/>
        </w:rPr>
        <w:t>sau</w:t>
      </w:r>
      <w:proofErr w:type="spellEnd"/>
      <w:r w:rsidR="006E2A9A">
        <w:rPr>
          <w:rFonts w:ascii="Times New Roman" w:hAnsi="Times New Roman"/>
          <w:szCs w:val="24"/>
        </w:rPr>
        <w:t xml:space="preserve">: 3; 4; </w:t>
      </w:r>
      <w:proofErr w:type="spellStart"/>
      <w:r w:rsidRPr="00000B5F">
        <w:rPr>
          <w:rFonts w:ascii="Times New Roman" w:hAnsi="Times New Roman"/>
          <w:szCs w:val="24"/>
        </w:rPr>
        <w:t>và</w:t>
      </w:r>
      <w:proofErr w:type="spellEnd"/>
      <w:r w:rsidRPr="00000B5F">
        <w:rPr>
          <w:rFonts w:ascii="Times New Roman" w:hAnsi="Times New Roman"/>
          <w:szCs w:val="24"/>
        </w:rPr>
        <w:t xml:space="preserve"> 24 (HS)…</w:t>
      </w:r>
    </w:p>
    <w:p w:rsidR="00000B5F" w:rsidRPr="00000B5F" w:rsidRDefault="00000B5F" w:rsidP="00000B5F">
      <w:pPr>
        <w:pStyle w:val="Refer"/>
        <w:numPr>
          <w:ilvl w:val="0"/>
          <w:numId w:val="7"/>
        </w:numPr>
        <w:spacing w:after="0" w:line="312" w:lineRule="auto"/>
        <w:ind w:left="2184"/>
        <w:rPr>
          <w:rFonts w:ascii="Times New Roman" w:hAnsi="Times New Roman"/>
          <w:szCs w:val="24"/>
        </w:rPr>
      </w:pPr>
      <w:r w:rsidRPr="00000B5F">
        <w:rPr>
          <w:rFonts w:ascii="Times New Roman" w:hAnsi="Times New Roman"/>
          <w:szCs w:val="24"/>
        </w:rPr>
        <w:t xml:space="preserve">Block: </w:t>
      </w:r>
      <w:proofErr w:type="spellStart"/>
      <w:r w:rsidRPr="00000B5F">
        <w:rPr>
          <w:rFonts w:ascii="Times New Roman" w:hAnsi="Times New Roman"/>
          <w:szCs w:val="24"/>
        </w:rPr>
        <w:t>Là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một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đơn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vị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tính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chỗ</w:t>
      </w:r>
      <w:proofErr w:type="spellEnd"/>
      <w:r w:rsidRPr="00000B5F">
        <w:rPr>
          <w:rFonts w:ascii="Times New Roman" w:hAnsi="Times New Roman"/>
          <w:szCs w:val="24"/>
        </w:rPr>
        <w:t xml:space="preserve"> ở </w:t>
      </w:r>
      <w:proofErr w:type="spellStart"/>
      <w:r w:rsidRPr="00000B5F">
        <w:rPr>
          <w:rFonts w:ascii="Times New Roman" w:hAnsi="Times New Roman"/>
          <w:szCs w:val="24"/>
        </w:rPr>
        <w:t>quy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chuẩn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tại</w:t>
      </w:r>
      <w:proofErr w:type="spellEnd"/>
      <w:r w:rsidRPr="00000B5F">
        <w:rPr>
          <w:rFonts w:ascii="Times New Roman" w:hAnsi="Times New Roman"/>
          <w:szCs w:val="24"/>
        </w:rPr>
        <w:t xml:space="preserve"> KTX FUHL. </w:t>
      </w:r>
      <w:proofErr w:type="spellStart"/>
      <w:r w:rsidRPr="00000B5F">
        <w:rPr>
          <w:rFonts w:ascii="Times New Roman" w:hAnsi="Times New Roman"/>
          <w:szCs w:val="24"/>
        </w:rPr>
        <w:t>Một</w:t>
      </w:r>
      <w:proofErr w:type="spellEnd"/>
      <w:r w:rsidRPr="00000B5F">
        <w:rPr>
          <w:rFonts w:ascii="Times New Roman" w:hAnsi="Times New Roman"/>
          <w:szCs w:val="24"/>
        </w:rPr>
        <w:t xml:space="preserve"> block </w:t>
      </w:r>
      <w:proofErr w:type="spellStart"/>
      <w:r w:rsidRPr="00000B5F">
        <w:rPr>
          <w:rFonts w:ascii="Times New Roman" w:hAnsi="Times New Roman"/>
          <w:szCs w:val="24"/>
        </w:rPr>
        <w:t>gồm</w:t>
      </w:r>
      <w:proofErr w:type="spellEnd"/>
      <w:r w:rsidRPr="00000B5F">
        <w:rPr>
          <w:rFonts w:ascii="Times New Roman" w:hAnsi="Times New Roman"/>
          <w:szCs w:val="24"/>
        </w:rPr>
        <w:t xml:space="preserve"> 2 </w:t>
      </w:r>
      <w:proofErr w:type="spellStart"/>
      <w:r w:rsidRPr="00000B5F">
        <w:rPr>
          <w:rFonts w:ascii="Times New Roman" w:hAnsi="Times New Roman"/>
          <w:szCs w:val="24"/>
        </w:rPr>
        <w:t>phòng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kép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kín</w:t>
      </w:r>
      <w:proofErr w:type="spellEnd"/>
      <w:r w:rsidRPr="00000B5F">
        <w:rPr>
          <w:rFonts w:ascii="Times New Roman" w:hAnsi="Times New Roman"/>
          <w:szCs w:val="24"/>
        </w:rPr>
        <w:t>.</w:t>
      </w:r>
    </w:p>
    <w:p w:rsidR="00000B5F" w:rsidRPr="00000B5F" w:rsidRDefault="00000B5F" w:rsidP="00000B5F">
      <w:pPr>
        <w:pStyle w:val="Refer"/>
        <w:numPr>
          <w:ilvl w:val="0"/>
          <w:numId w:val="7"/>
        </w:numPr>
        <w:spacing w:after="0" w:line="312" w:lineRule="auto"/>
        <w:ind w:left="2184"/>
        <w:rPr>
          <w:rFonts w:ascii="Times New Roman" w:hAnsi="Times New Roman"/>
          <w:szCs w:val="24"/>
        </w:rPr>
      </w:pPr>
      <w:proofErr w:type="spellStart"/>
      <w:r w:rsidRPr="00000B5F">
        <w:rPr>
          <w:rFonts w:ascii="Times New Roman" w:hAnsi="Times New Roman"/>
          <w:szCs w:val="24"/>
        </w:rPr>
        <w:t>Tầng</w:t>
      </w:r>
      <w:proofErr w:type="spellEnd"/>
      <w:r w:rsidRPr="00000B5F">
        <w:rPr>
          <w:rFonts w:ascii="Times New Roman" w:hAnsi="Times New Roman"/>
          <w:szCs w:val="24"/>
        </w:rPr>
        <w:t xml:space="preserve">: </w:t>
      </w:r>
      <w:proofErr w:type="spellStart"/>
      <w:r w:rsidRPr="00000B5F">
        <w:rPr>
          <w:rFonts w:ascii="Times New Roman" w:hAnsi="Times New Roman"/>
          <w:szCs w:val="24"/>
        </w:rPr>
        <w:t>Chỉ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toàn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bộ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số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phòng</w:t>
      </w:r>
      <w:proofErr w:type="spellEnd"/>
      <w:r w:rsidRPr="00000B5F">
        <w:rPr>
          <w:rFonts w:ascii="Times New Roman" w:hAnsi="Times New Roman"/>
          <w:szCs w:val="24"/>
        </w:rPr>
        <w:t xml:space="preserve">/block </w:t>
      </w:r>
      <w:proofErr w:type="spellStart"/>
      <w:r w:rsidRPr="00000B5F">
        <w:rPr>
          <w:rFonts w:ascii="Times New Roman" w:hAnsi="Times New Roman"/>
          <w:szCs w:val="24"/>
        </w:rPr>
        <w:t>có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000B5F">
        <w:rPr>
          <w:rFonts w:ascii="Times New Roman" w:hAnsi="Times New Roman"/>
          <w:szCs w:val="24"/>
        </w:rPr>
        <w:t>chung</w:t>
      </w:r>
      <w:proofErr w:type="spellEnd"/>
      <w:proofErr w:type="gram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một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độ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cao</w:t>
      </w:r>
      <w:proofErr w:type="spellEnd"/>
      <w:r w:rsidRPr="00000B5F">
        <w:rPr>
          <w:rFonts w:ascii="Times New Roman" w:hAnsi="Times New Roman"/>
          <w:szCs w:val="24"/>
        </w:rPr>
        <w:t xml:space="preserve"> </w:t>
      </w:r>
      <w:proofErr w:type="spellStart"/>
      <w:r w:rsidRPr="00000B5F">
        <w:rPr>
          <w:rFonts w:ascii="Times New Roman" w:hAnsi="Times New Roman"/>
          <w:szCs w:val="24"/>
        </w:rPr>
        <w:t>trong</w:t>
      </w:r>
      <w:proofErr w:type="spellEnd"/>
      <w:r w:rsidRPr="00000B5F">
        <w:rPr>
          <w:rFonts w:ascii="Times New Roman" w:hAnsi="Times New Roman"/>
          <w:szCs w:val="24"/>
        </w:rPr>
        <w:t xml:space="preserve"> 1 </w:t>
      </w:r>
      <w:proofErr w:type="spellStart"/>
      <w:r w:rsidRPr="00000B5F">
        <w:rPr>
          <w:rFonts w:ascii="Times New Roman" w:hAnsi="Times New Roman"/>
          <w:szCs w:val="24"/>
        </w:rPr>
        <w:t>tòa</w:t>
      </w:r>
      <w:proofErr w:type="spellEnd"/>
      <w:r w:rsidRPr="00000B5F">
        <w:rPr>
          <w:rFonts w:ascii="Times New Roman" w:hAnsi="Times New Roman"/>
          <w:szCs w:val="24"/>
        </w:rPr>
        <w:t xml:space="preserve"> KTX.</w:t>
      </w:r>
    </w:p>
    <w:p w:rsidR="00000B5F" w:rsidRPr="00000B5F" w:rsidRDefault="00000B5F" w:rsidP="00000B5F">
      <w:pPr>
        <w:pStyle w:val="ListParagraph"/>
        <w:numPr>
          <w:ilvl w:val="0"/>
          <w:numId w:val="7"/>
        </w:numPr>
        <w:ind w:left="2184"/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eastAsia="Calibri" w:hAnsi="Times New Roman" w:cs="Times New Roman"/>
          <w:sz w:val="24"/>
          <w:szCs w:val="24"/>
        </w:rPr>
        <w:t>Dom: Cách gọi cho từng khối nhà KTX (DomA; Dom</w:t>
      </w:r>
      <w:r w:rsidR="00442C10">
        <w:rPr>
          <w:rFonts w:ascii="Times New Roman" w:eastAsia="Calibri" w:hAnsi="Times New Roman" w:cs="Times New Roman"/>
          <w:sz w:val="24"/>
          <w:szCs w:val="24"/>
        </w:rPr>
        <w:t>B; Dom</w:t>
      </w:r>
      <w:r w:rsidRPr="00000B5F">
        <w:rPr>
          <w:rFonts w:ascii="Times New Roman" w:eastAsia="Calibri" w:hAnsi="Times New Roman" w:cs="Times New Roman"/>
          <w:sz w:val="24"/>
          <w:szCs w:val="24"/>
        </w:rPr>
        <w:t>C; DomD</w:t>
      </w:r>
      <w:r w:rsidR="008F3D73">
        <w:rPr>
          <w:rFonts w:ascii="Times New Roman" w:eastAsia="Calibri" w:hAnsi="Times New Roman" w:cs="Times New Roman"/>
          <w:sz w:val="24"/>
          <w:szCs w:val="24"/>
        </w:rPr>
        <w:t>,Dom E, Dom F</w:t>
      </w:r>
      <w:r w:rsidRPr="00000B5F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D82666" w:rsidRPr="00290993" w:rsidRDefault="00701353" w:rsidP="00CA05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09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82666" w:rsidRPr="00290993">
        <w:rPr>
          <w:rFonts w:ascii="Times New Roman" w:hAnsi="Times New Roman" w:cs="Times New Roman"/>
          <w:b/>
          <w:i/>
          <w:sz w:val="24"/>
          <w:szCs w:val="24"/>
        </w:rPr>
        <w:t>Nguyên tắc tài chính:</w:t>
      </w:r>
    </w:p>
    <w:p w:rsidR="00D82666" w:rsidRPr="00000B5F" w:rsidRDefault="0074278C" w:rsidP="00D82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sau khi đăng ký</w:t>
      </w:r>
      <w:r w:rsidR="00D82666" w:rsidRPr="00000B5F">
        <w:rPr>
          <w:rFonts w:ascii="Times New Roman" w:hAnsi="Times New Roman" w:cs="Times New Roman"/>
          <w:sz w:val="24"/>
          <w:szCs w:val="24"/>
        </w:rPr>
        <w:t xml:space="preserve"> ở ký túc xá sẽ phải có trách nhiệm đóng tiền ở theo học kỳ 04 tháng</w:t>
      </w:r>
      <w:r w:rsidR="003B2A5B" w:rsidRPr="00000B5F">
        <w:rPr>
          <w:rFonts w:ascii="Times New Roman" w:hAnsi="Times New Roman" w:cs="Times New Roman"/>
          <w:sz w:val="24"/>
          <w:szCs w:val="24"/>
        </w:rPr>
        <w:t xml:space="preserve"> </w:t>
      </w:r>
      <w:r w:rsidR="00D82666" w:rsidRPr="00000B5F">
        <w:rPr>
          <w:rFonts w:ascii="Times New Roman" w:hAnsi="Times New Roman" w:cs="Times New Roman"/>
          <w:sz w:val="24"/>
          <w:szCs w:val="24"/>
        </w:rPr>
        <w:t>vào thời điểm 1 tuần trước khi học kỳ mới bắt đầu.</w:t>
      </w:r>
    </w:p>
    <w:p w:rsidR="00D82666" w:rsidRPr="00000B5F" w:rsidRDefault="003B2A5B" w:rsidP="00D82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Trong tiền ở hàng tháng của sinh viên có 100.000VNĐ tiền điện nước định mức, trong đó mỗi sinh viên được sử dụng:</w:t>
      </w:r>
    </w:p>
    <w:p w:rsidR="003B2A5B" w:rsidRPr="00000B5F" w:rsidRDefault="003B2A5B" w:rsidP="003B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Định mức điện: 36KW/người/tháng.</w:t>
      </w:r>
    </w:p>
    <w:p w:rsidR="003B2A5B" w:rsidRPr="00000B5F" w:rsidRDefault="003B2A5B" w:rsidP="003B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Định mức nước: 04m</w:t>
      </w:r>
      <w:r w:rsidRPr="00000B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00B5F">
        <w:rPr>
          <w:rFonts w:ascii="Times New Roman" w:hAnsi="Times New Roman" w:cs="Times New Roman"/>
          <w:sz w:val="24"/>
          <w:szCs w:val="24"/>
        </w:rPr>
        <w:t>/người/tháng.</w:t>
      </w:r>
    </w:p>
    <w:p w:rsidR="003B2A5B" w:rsidRPr="00000B5F" w:rsidRDefault="003B2A5B" w:rsidP="00000B5F">
      <w:pPr>
        <w:pStyle w:val="ListParagraph"/>
        <w:numPr>
          <w:ilvl w:val="0"/>
          <w:numId w:val="4"/>
        </w:numPr>
        <w:spacing w:after="120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Số điện – nước tiêu thu trong tháng được tính theo công thứ</w:t>
      </w:r>
      <w:r w:rsidR="00000B5F" w:rsidRPr="00000B5F">
        <w:rPr>
          <w:rFonts w:ascii="Times New Roman" w:hAnsi="Times New Roman" w:cs="Times New Roman"/>
          <w:sz w:val="24"/>
          <w:szCs w:val="24"/>
        </w:rPr>
        <w:t>c sau:</w:t>
      </w:r>
    </w:p>
    <w:tbl>
      <w:tblPr>
        <w:tblStyle w:val="TableGrid"/>
        <w:tblW w:w="9827" w:type="dxa"/>
        <w:tblInd w:w="262" w:type="dxa"/>
        <w:tblLook w:val="04A0" w:firstRow="1" w:lastRow="0" w:firstColumn="1" w:lastColumn="0" w:noHBand="0" w:noVBand="1"/>
      </w:tblPr>
      <w:tblGrid>
        <w:gridCol w:w="9827"/>
      </w:tblGrid>
      <w:tr w:rsidR="003B2A5B" w:rsidRPr="00000B5F" w:rsidTr="00B0506F">
        <w:trPr>
          <w:trHeight w:val="513"/>
        </w:trPr>
        <w:tc>
          <w:tcPr>
            <w:tcW w:w="9827" w:type="dxa"/>
            <w:vAlign w:val="center"/>
          </w:tcPr>
          <w:p w:rsidR="003B2A5B" w:rsidRPr="00000B5F" w:rsidRDefault="003B2A5B" w:rsidP="003B2A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B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(Số điện; nước thời cuối kỳ) – (Số điện; nước đầu kỳ) = </w:t>
            </w:r>
            <w:bookmarkStart w:id="0" w:name="OLE_LINK1"/>
            <w:r w:rsidRPr="00000B5F">
              <w:rPr>
                <w:rFonts w:ascii="Times New Roman" w:hAnsi="Times New Roman" w:cs="Times New Roman"/>
                <w:b/>
                <w:sz w:val="24"/>
                <w:szCs w:val="24"/>
              </w:rPr>
              <w:t>Số điện; nước tiêu thụ trong tháng</w:t>
            </w:r>
            <w:bookmarkEnd w:id="0"/>
            <w:r w:rsidRPr="00000B5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1862AB" w:rsidRPr="001862AB" w:rsidRDefault="00C65D70" w:rsidP="00C65D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Số điện; nước định mức của sinh viên sống trong block của </w:t>
      </w:r>
      <w:r w:rsidR="00691911">
        <w:rPr>
          <w:rFonts w:ascii="Times New Roman" w:hAnsi="Times New Roman" w:cs="Times New Roman"/>
          <w:sz w:val="24"/>
          <w:szCs w:val="24"/>
        </w:rPr>
        <w:t>từng tháng</w:t>
      </w:r>
      <w:r>
        <w:rPr>
          <w:rFonts w:ascii="Times New Roman" w:hAnsi="Times New Roman" w:cs="Times New Roman"/>
          <w:sz w:val="24"/>
          <w:szCs w:val="24"/>
        </w:rPr>
        <w:t xml:space="preserve"> được tính theo công thức sau:</w:t>
      </w:r>
      <w:r w:rsidR="00186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2AB" w:rsidRPr="001862AB" w:rsidRDefault="001862AB" w:rsidP="001862A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920" w:type="dxa"/>
        <w:tblLook w:val="04A0" w:firstRow="1" w:lastRow="0" w:firstColumn="1" w:lastColumn="0" w:noHBand="0" w:noVBand="1"/>
      </w:tblPr>
      <w:tblGrid>
        <w:gridCol w:w="7416"/>
      </w:tblGrid>
      <w:tr w:rsidR="001862AB" w:rsidTr="001862AB">
        <w:trPr>
          <w:trHeight w:val="465"/>
        </w:trPr>
        <w:tc>
          <w:tcPr>
            <w:tcW w:w="7416" w:type="dxa"/>
            <w:vAlign w:val="center"/>
          </w:tcPr>
          <w:p w:rsidR="001862AB" w:rsidRDefault="001862AB" w:rsidP="001862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)</w:t>
            </w:r>
          </w:p>
        </w:tc>
      </w:tr>
    </w:tbl>
    <w:p w:rsidR="001862AB" w:rsidRPr="00582F39" w:rsidRDefault="001862AB" w:rsidP="00186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 w:rsidR="00691911">
        <w:rPr>
          <w:rFonts w:ascii="Times New Roman" w:hAnsi="Times New Roman" w:cs="Times New Roman"/>
          <w:sz w:val="24"/>
          <w:szCs w:val="24"/>
        </w:rPr>
        <w:t>điện; nước định mức của sinh viên sống trong Block của học kỳ được tính theo công thức sau:</w:t>
      </w:r>
    </w:p>
    <w:p w:rsidR="00582F39" w:rsidRPr="00691911" w:rsidRDefault="00582F39" w:rsidP="00582F39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1911" w:rsidTr="00691911">
        <w:tc>
          <w:tcPr>
            <w:tcW w:w="9576" w:type="dxa"/>
          </w:tcPr>
          <w:p w:rsidR="00691911" w:rsidRDefault="00691911" w:rsidP="00691911">
            <w:pPr>
              <w:spacing w:beforeAutospacing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{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1)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2) 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3)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4)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:rsidR="00691911" w:rsidRPr="00F970E9" w:rsidRDefault="0013065E" w:rsidP="00691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3065E">
        <w:rPr>
          <w:rFonts w:ascii="Times New Roman" w:hAnsi="Times New Roman" w:cs="Times New Roman"/>
          <w:sz w:val="24"/>
          <w:szCs w:val="24"/>
        </w:rPr>
        <w:t>Số điện/nước phụ trội của học kỳ được tính theo công thức sau:</w:t>
      </w:r>
    </w:p>
    <w:p w:rsidR="00F970E9" w:rsidRPr="0013065E" w:rsidRDefault="00F970E9" w:rsidP="00F970E9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73" w:type="dxa"/>
        <w:tblInd w:w="93" w:type="dxa"/>
        <w:tblLook w:val="04A0" w:firstRow="1" w:lastRow="0" w:firstColumn="1" w:lastColumn="0" w:noHBand="0" w:noVBand="1"/>
      </w:tblPr>
      <w:tblGrid>
        <w:gridCol w:w="4117"/>
        <w:gridCol w:w="960"/>
        <w:gridCol w:w="236"/>
        <w:gridCol w:w="4660"/>
      </w:tblGrid>
      <w:tr w:rsidR="00C43A6B" w:rsidRPr="00C65D70" w:rsidTr="0013065E">
        <w:trPr>
          <w:trHeight w:val="1530"/>
        </w:trPr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A6B" w:rsidRPr="00C65D70" w:rsidRDefault="00AF2EE1" w:rsidP="005129A3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r w:rsidR="00C43A6B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</w:t>
            </w:r>
            <w:proofErr w:type="spellStart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; </w:t>
            </w:r>
            <w:proofErr w:type="spellStart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tiêu</w:t>
            </w:r>
            <w:proofErr w:type="spellEnd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3A6B"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thu</w:t>
            </w:r>
            <w:proofErr w:type="spellEnd"/>
            <w:r w:rsidR="00C43A6B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3A6B" w:rsidRPr="00C65D70" w:rsidRDefault="00C43A6B" w:rsidP="0013065E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50"/>
                <w:szCs w:val="50"/>
              </w:rPr>
            </w:pPr>
            <w:r w:rsidRPr="00C65D70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50"/>
                <w:szCs w:val="50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6B" w:rsidRDefault="00C43A6B" w:rsidP="00C65D70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</w:p>
          <w:p w:rsidR="00C43A6B" w:rsidRDefault="00C43A6B" w:rsidP="00C65D70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</w:p>
          <w:p w:rsidR="00C43A6B" w:rsidRDefault="00C43A6B" w:rsidP="00C65D70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</w:p>
          <w:p w:rsidR="00C43A6B" w:rsidRPr="00C65D70" w:rsidRDefault="00C43A6B" w:rsidP="00C43A6B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F2EE1" w:rsidRDefault="00C43A6B" w:rsidP="00C65D70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{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1)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br/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</w:t>
            </w:r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iện</w:t>
            </w:r>
            <w:proofErr w:type="spellEnd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2)</w:t>
            </w:r>
          </w:p>
          <w:p w:rsidR="00C43A6B" w:rsidRPr="00C65D70" w:rsidRDefault="00C43A6B" w:rsidP="00C65D70">
            <w:pPr>
              <w:spacing w:before="0" w:before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3)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br/>
            </w:r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 </w:t>
            </w:r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+ (36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điện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/04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nước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×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số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SV </w:t>
            </w:r>
            <w:proofErr w:type="spellStart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tháng</w:t>
            </w:r>
            <w:proofErr w:type="spellEnd"/>
            <w:r w:rsidRPr="00C65D70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 4)</w:t>
            </w:r>
            <w:r w:rsidR="00AF2EE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:rsidR="003B2A5B" w:rsidRPr="005954B0" w:rsidRDefault="005954B0" w:rsidP="00186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Cuối học kỳ (04 tháng) Phòng dịch vụ đời sống sinh viên sẽ chốt số điện – nước và gửi về cho người đại diện củ</w:t>
      </w:r>
      <w:r>
        <w:rPr>
          <w:rFonts w:ascii="Times New Roman" w:hAnsi="Times New Roman" w:cs="Times New Roman"/>
          <w:sz w:val="24"/>
          <w:szCs w:val="24"/>
        </w:rPr>
        <w:t>a Block đó. Nếu phát sinh phụ trội điện; nước sẽ áp dụng thu thêm phí phụ trội như sau:</w:t>
      </w:r>
    </w:p>
    <w:p w:rsidR="005954B0" w:rsidRPr="005954B0" w:rsidRDefault="005954B0" w:rsidP="005954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Điện:</w:t>
      </w:r>
      <w:r>
        <w:rPr>
          <w:rFonts w:ascii="Times New Roman" w:hAnsi="Times New Roman" w:cs="Times New Roman"/>
          <w:sz w:val="24"/>
          <w:szCs w:val="24"/>
        </w:rPr>
        <w:tab/>
        <w:t>2000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</w:rPr>
        <w:t>/KW × Số điện vượt định mức trong kỳ = Số tiền điện phải nộp trong kỳ.</w:t>
      </w:r>
    </w:p>
    <w:p w:rsidR="005954B0" w:rsidRPr="005954B0" w:rsidRDefault="005954B0" w:rsidP="005954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Nước:</w:t>
      </w:r>
      <w:r w:rsidRPr="00595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8000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</w:rPr>
        <w:t>/m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× Số nước vượt định mức trong kỳ = Số tiền nước phải nộp trong kỳ.</w:t>
      </w:r>
    </w:p>
    <w:p w:rsidR="005954B0" w:rsidRPr="001862AB" w:rsidRDefault="005954B0" w:rsidP="005954B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số tiền phải nộp = (Số tiền điện phải nộp trong kỳ) + (Số tiền nước phải nộp trong kỳ).</w:t>
      </w:r>
    </w:p>
    <w:p w:rsidR="00CA0547" w:rsidRPr="00290993" w:rsidRDefault="00E844FC" w:rsidP="00CA05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09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0547" w:rsidRPr="00290993">
        <w:rPr>
          <w:rFonts w:ascii="Times New Roman" w:hAnsi="Times New Roman" w:cs="Times New Roman"/>
          <w:b/>
          <w:i/>
          <w:sz w:val="24"/>
          <w:szCs w:val="24"/>
        </w:rPr>
        <w:t>Quyền lợi của sinh viên khi ở tại KTX FUHL:</w:t>
      </w:r>
    </w:p>
    <w:p w:rsidR="00CA0547" w:rsidRPr="00000B5F" w:rsidRDefault="00CA0547" w:rsidP="00CA0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Được cung ứng dịch vụ ở theo cam kết của Nhà trường.</w:t>
      </w:r>
    </w:p>
    <w:p w:rsidR="00CA0547" w:rsidRPr="00000B5F" w:rsidRDefault="00CA0547" w:rsidP="00CA0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Được Đảm bảo về an ninh, trật tự theo đúng Nội quy của Nhà trường đã đề ra.</w:t>
      </w:r>
    </w:p>
    <w:p w:rsidR="00CA0547" w:rsidRPr="00000B5F" w:rsidRDefault="00CA0547" w:rsidP="00CA0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Được hỗ trợ về các sự cố liên quan tới kỹ thuật tại phòng ở (Nếu là lỗi do sử dụng thì sinh viên phải trả tiền vật tư và phí nhân công).</w:t>
      </w:r>
    </w:p>
    <w:p w:rsidR="00CA0547" w:rsidRPr="00000B5F" w:rsidRDefault="00CA0547" w:rsidP="00CA0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t>Được sử dụng dịch vụ y tế 24/24 (xử lý cấp cứu, sơ cứu miễn phí; mua thuốc điều trị sinh viên phải trả tiền).</w:t>
      </w:r>
    </w:p>
    <w:p w:rsidR="00CA0547" w:rsidRDefault="004A2AD8" w:rsidP="00CA0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F">
        <w:rPr>
          <w:rFonts w:ascii="Times New Roman" w:hAnsi="Times New Roman" w:cs="Times New Roman"/>
          <w:sz w:val="24"/>
          <w:szCs w:val="24"/>
        </w:rPr>
        <w:lastRenderedPageBreak/>
        <w:t xml:space="preserve">Dược cung ứng dịch vụ Internet theo từng account thông qua việc </w:t>
      </w:r>
      <w:r w:rsidR="005129A3">
        <w:rPr>
          <w:rFonts w:ascii="Times New Roman" w:hAnsi="Times New Roman" w:cs="Times New Roman"/>
          <w:sz w:val="24"/>
          <w:szCs w:val="24"/>
        </w:rPr>
        <w:t>s</w:t>
      </w:r>
      <w:r w:rsidRPr="00000B5F">
        <w:rPr>
          <w:rFonts w:ascii="Times New Roman" w:hAnsi="Times New Roman" w:cs="Times New Roman"/>
          <w:sz w:val="24"/>
          <w:szCs w:val="24"/>
        </w:rPr>
        <w:t>inh viên ký hợp đồng với nhà cung ứng dịch vụ FPT Telecom.</w:t>
      </w:r>
    </w:p>
    <w:p w:rsidR="00731337" w:rsidRPr="00290993" w:rsidRDefault="00731337" w:rsidP="007313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0993">
        <w:rPr>
          <w:rFonts w:ascii="Times New Roman" w:hAnsi="Times New Roman" w:cs="Times New Roman"/>
          <w:b/>
          <w:i/>
          <w:sz w:val="24"/>
          <w:szCs w:val="24"/>
        </w:rPr>
        <w:t xml:space="preserve"> Nghĩa vụ của sinh viên khi ở tại KTX FUHL:</w:t>
      </w:r>
    </w:p>
    <w:p w:rsidR="00731337" w:rsidRDefault="00731337" w:rsidP="00731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phải thực hiên nghĩa vụ tài chính như đã cam kết.</w:t>
      </w:r>
    </w:p>
    <w:p w:rsidR="00731337" w:rsidRDefault="00731337" w:rsidP="00731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phải tuân thủ đúng Nội quy ký túc xá được Nhà trường ban hành.</w:t>
      </w:r>
    </w:p>
    <w:p w:rsidR="00731337" w:rsidRDefault="00731337" w:rsidP="00731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phải thực hiện việc giữ gìn vệ sinh và trực dọn vệ sinh nội vụ cũng như vệ sinh công cộng theo kế hoạch được phân công.</w:t>
      </w:r>
    </w:p>
    <w:p w:rsidR="00383E7B" w:rsidRDefault="00383E7B" w:rsidP="00731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phải tuân thủ đúng nguyên tắc phòng cháy chữa cháy theo quy định.</w:t>
      </w:r>
    </w:p>
    <w:p w:rsidR="001042CA" w:rsidRPr="00290993" w:rsidRDefault="001042CA" w:rsidP="00104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0993">
        <w:rPr>
          <w:rFonts w:ascii="Times New Roman" w:hAnsi="Times New Roman" w:cs="Times New Roman"/>
          <w:b/>
          <w:sz w:val="24"/>
          <w:szCs w:val="24"/>
        </w:rPr>
        <w:t>Nhà ăn.</w:t>
      </w:r>
    </w:p>
    <w:p w:rsidR="00156D56" w:rsidRDefault="001042CA" w:rsidP="00104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6D56">
        <w:rPr>
          <w:rFonts w:ascii="Times New Roman" w:hAnsi="Times New Roman" w:cs="Times New Roman"/>
          <w:sz w:val="24"/>
          <w:szCs w:val="24"/>
        </w:rPr>
        <w:t>Nhà ăn phục vụ các bữa Sáng; Trưa và Tối cho cán bộ và sinh viên tại FUHL tất cả các ngày trong tuần trừ ngày lễ, Tế</w:t>
      </w:r>
      <w:r w:rsidR="00156D56" w:rsidRPr="00156D56">
        <w:rPr>
          <w:rFonts w:ascii="Times New Roman" w:hAnsi="Times New Roman" w:cs="Times New Roman"/>
          <w:sz w:val="24"/>
          <w:szCs w:val="24"/>
        </w:rPr>
        <w:t>t, Thứ 7, CN</w:t>
      </w:r>
    </w:p>
    <w:p w:rsidR="001042CA" w:rsidRPr="00156D56" w:rsidRDefault="001042CA" w:rsidP="00104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6D56">
        <w:rPr>
          <w:rFonts w:ascii="Times New Roman" w:hAnsi="Times New Roman" w:cs="Times New Roman"/>
          <w:sz w:val="24"/>
          <w:szCs w:val="24"/>
        </w:rPr>
        <w:t>Thời gian phục vụ của Nhà ăn:</w:t>
      </w:r>
    </w:p>
    <w:p w:rsidR="001042CA" w:rsidRDefault="001042CA" w:rsidP="002F5407">
      <w:pPr>
        <w:pStyle w:val="ListParagraph"/>
        <w:numPr>
          <w:ilvl w:val="0"/>
          <w:numId w:val="5"/>
        </w:numPr>
        <w:ind w:left="1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Bữa S</w:t>
      </w:r>
      <w:r w:rsidR="002F5407">
        <w:rPr>
          <w:rFonts w:ascii="Times New Roman" w:hAnsi="Times New Roman" w:cs="Times New Roman"/>
          <w:sz w:val="24"/>
          <w:szCs w:val="24"/>
        </w:rPr>
        <w:t>áng:</w:t>
      </w:r>
      <w:r w:rsidR="002F54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00 – 08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Giá tiền/suất: 20.000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1042CA">
        <w:rPr>
          <w:rFonts w:ascii="Times New Roman" w:hAnsi="Times New Roman" w:cs="Times New Roman"/>
          <w:i/>
          <w:sz w:val="24"/>
          <w:szCs w:val="24"/>
        </w:rPr>
        <w:t>(Trực tiếp).</w:t>
      </w:r>
    </w:p>
    <w:p w:rsidR="001042CA" w:rsidRDefault="001042CA" w:rsidP="002F5407">
      <w:pPr>
        <w:pStyle w:val="ListParagraph"/>
        <w:numPr>
          <w:ilvl w:val="0"/>
          <w:numId w:val="5"/>
        </w:numPr>
        <w:ind w:left="1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Bữa Trưa:</w:t>
      </w:r>
      <w:r w:rsidR="002F54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00 –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Giá tiền/suất: 20.000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1042CA">
        <w:rPr>
          <w:rFonts w:ascii="Times New Roman" w:hAnsi="Times New Roman" w:cs="Times New Roman"/>
          <w:i/>
          <w:sz w:val="24"/>
          <w:szCs w:val="24"/>
        </w:rPr>
        <w:t>(Vé ăn).</w:t>
      </w:r>
    </w:p>
    <w:p w:rsidR="001042CA" w:rsidRDefault="001042CA" w:rsidP="002F5407">
      <w:pPr>
        <w:pStyle w:val="ListParagraph"/>
        <w:numPr>
          <w:ilvl w:val="0"/>
          <w:numId w:val="5"/>
        </w:numPr>
        <w:ind w:left="1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Bữa Tố</w:t>
      </w:r>
      <w:r w:rsidR="002F5407">
        <w:rPr>
          <w:rFonts w:ascii="Times New Roman" w:hAnsi="Times New Roman" w:cs="Times New Roman"/>
          <w:sz w:val="24"/>
          <w:szCs w:val="24"/>
        </w:rPr>
        <w:t>i:</w:t>
      </w:r>
      <w:r w:rsidR="002F54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00 – 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Giá tiền/suất: 20.000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1042CA">
        <w:rPr>
          <w:rFonts w:ascii="Times New Roman" w:hAnsi="Times New Roman" w:cs="Times New Roman"/>
          <w:i/>
          <w:sz w:val="24"/>
          <w:szCs w:val="24"/>
        </w:rPr>
        <w:t>(Vé ăn).</w:t>
      </w:r>
    </w:p>
    <w:p w:rsidR="003E0FAE" w:rsidRPr="00156D56" w:rsidRDefault="00EA71DF" w:rsidP="00156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A71DF">
        <w:rPr>
          <w:rFonts w:ascii="Times New Roman" w:hAnsi="Times New Roman" w:cs="Times New Roman"/>
          <w:sz w:val="24"/>
          <w:szCs w:val="24"/>
        </w:rPr>
        <w:t>Với bữa</w:t>
      </w:r>
      <w:r w:rsidR="00156D56">
        <w:rPr>
          <w:rFonts w:ascii="Times New Roman" w:hAnsi="Times New Roman" w:cs="Times New Roman"/>
          <w:sz w:val="24"/>
          <w:szCs w:val="24"/>
        </w:rPr>
        <w:t xml:space="preserve"> Sáng,</w:t>
      </w:r>
      <w:r w:rsidRPr="00EA71DF">
        <w:rPr>
          <w:rFonts w:ascii="Times New Roman" w:hAnsi="Times New Roman" w:cs="Times New Roman"/>
          <w:sz w:val="24"/>
          <w:szCs w:val="24"/>
        </w:rPr>
        <w:t xml:space="preserve"> Trưa và Tối, sinh viên mua vé</w:t>
      </w:r>
      <w:r w:rsidR="0006373E">
        <w:rPr>
          <w:rFonts w:ascii="Times New Roman" w:hAnsi="Times New Roman" w:cs="Times New Roman"/>
          <w:sz w:val="24"/>
          <w:szCs w:val="24"/>
        </w:rPr>
        <w:t xml:space="preserve"> mua trực tiếp tại nhà ăn </w:t>
      </w:r>
    </w:p>
    <w:p w:rsidR="006B76C1" w:rsidRDefault="003E0FAE" w:rsidP="009A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có thể mua vé ăn thêm vớ</w:t>
      </w:r>
      <w:r w:rsidR="0069037F">
        <w:rPr>
          <w:rFonts w:ascii="Times New Roman" w:hAnsi="Times New Roman" w:cs="Times New Roman"/>
          <w:sz w:val="24"/>
          <w:szCs w:val="24"/>
        </w:rPr>
        <w:t>i giá 5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VNĐ</w:t>
      </w:r>
      <w:r>
        <w:rPr>
          <w:rFonts w:ascii="Times New Roman" w:hAnsi="Times New Roman" w:cs="Times New Roman"/>
          <w:sz w:val="24"/>
          <w:szCs w:val="24"/>
        </w:rPr>
        <w:t>/suất và có thể sử dụng bất kỳ lúc nào với bữa</w:t>
      </w:r>
      <w:r w:rsidR="00156D56">
        <w:rPr>
          <w:rFonts w:ascii="Times New Roman" w:hAnsi="Times New Roman" w:cs="Times New Roman"/>
          <w:sz w:val="24"/>
          <w:szCs w:val="24"/>
        </w:rPr>
        <w:t xml:space="preserve"> Sáng,</w:t>
      </w:r>
      <w:r>
        <w:rPr>
          <w:rFonts w:ascii="Times New Roman" w:hAnsi="Times New Roman" w:cs="Times New Roman"/>
          <w:sz w:val="24"/>
          <w:szCs w:val="24"/>
        </w:rPr>
        <w:t xml:space="preserve"> Trưa và Tối</w:t>
      </w:r>
      <w:r w:rsidR="009A4577">
        <w:rPr>
          <w:rFonts w:ascii="Times New Roman" w:hAnsi="Times New Roman" w:cs="Times New Roman"/>
          <w:sz w:val="24"/>
          <w:szCs w:val="24"/>
        </w:rPr>
        <w:t>.</w:t>
      </w:r>
    </w:p>
    <w:p w:rsidR="00342DA8" w:rsidRPr="009A4577" w:rsidRDefault="00342DA8" w:rsidP="009A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tại TTDVHL hệ thống bán hàng tự đông, các dịch vụ khác tại FU Hòa Lạc đều có thể đùng thẻ thông minh để thanh toán.</w:t>
      </w:r>
    </w:p>
    <w:p w:rsidR="00156D56" w:rsidRPr="00156D56" w:rsidRDefault="00472B27" w:rsidP="00472B27">
      <w:pPr>
        <w:pStyle w:val="ListParagraph"/>
        <w:numPr>
          <w:ilvl w:val="0"/>
          <w:numId w:val="2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892D63">
        <w:rPr>
          <w:rFonts w:ascii="Times New Roman" w:hAnsi="Times New Roman"/>
          <w:b/>
          <w:sz w:val="24"/>
          <w:szCs w:val="24"/>
        </w:rPr>
        <w:t>Phòng Y tế:</w:t>
      </w:r>
      <w:r w:rsidRPr="00892D6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342DA8" w:rsidRDefault="00156D56" w:rsidP="00156D56">
      <w:pPr>
        <w:pStyle w:val="ListParagraph"/>
        <w:spacing w:before="0" w:beforeAutospacing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472B27" w:rsidRPr="00892D63">
        <w:rPr>
          <w:rFonts w:ascii="Times New Roman" w:hAnsi="Times New Roman"/>
          <w:sz w:val="24"/>
          <w:szCs w:val="24"/>
        </w:rPr>
        <w:t>Có cán bộ ý tế trực 24/7, đảm bảo xử lý</w:t>
      </w:r>
      <w:r w:rsidR="00342DA8">
        <w:rPr>
          <w:rFonts w:ascii="Times New Roman" w:hAnsi="Times New Roman"/>
          <w:sz w:val="24"/>
          <w:szCs w:val="24"/>
        </w:rPr>
        <w:t xml:space="preserve"> khám chữa bệnh thông thường,</w:t>
      </w:r>
      <w:r w:rsidR="00472B27" w:rsidRPr="00892D63">
        <w:rPr>
          <w:rFonts w:ascii="Times New Roman" w:hAnsi="Times New Roman"/>
          <w:sz w:val="24"/>
          <w:szCs w:val="24"/>
        </w:rPr>
        <w:t xml:space="preserve"> sơ cứu</w:t>
      </w:r>
      <w:r w:rsidR="00342DA8">
        <w:rPr>
          <w:rFonts w:ascii="Times New Roman" w:hAnsi="Times New Roman"/>
          <w:sz w:val="24"/>
          <w:szCs w:val="24"/>
        </w:rPr>
        <w:t>, tư vấn sức khỏe.</w:t>
      </w:r>
      <w:r w:rsidR="00472B27" w:rsidRPr="00892D63">
        <w:rPr>
          <w:rFonts w:ascii="Times New Roman" w:hAnsi="Times New Roman"/>
          <w:sz w:val="24"/>
          <w:szCs w:val="24"/>
        </w:rPr>
        <w:t xml:space="preserve"> </w:t>
      </w:r>
    </w:p>
    <w:p w:rsidR="00156D56" w:rsidRPr="00892D63" w:rsidRDefault="00156D56" w:rsidP="00156D56">
      <w:pPr>
        <w:pStyle w:val="ListParagraph"/>
        <w:spacing w:before="0" w:beforeAutospacing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Được cấp phát thuốc miễn phí cho các bệnh thông thường.</w:t>
      </w:r>
    </w:p>
    <w:p w:rsidR="00472B27" w:rsidRPr="006249CD" w:rsidRDefault="00472B27" w:rsidP="00472B27">
      <w:pPr>
        <w:numPr>
          <w:ilvl w:val="0"/>
          <w:numId w:val="2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892D63">
        <w:rPr>
          <w:rFonts w:ascii="Times New Roman" w:hAnsi="Times New Roman"/>
          <w:b/>
          <w:sz w:val="24"/>
          <w:szCs w:val="24"/>
        </w:rPr>
        <w:t>Siêu thị:</w:t>
      </w:r>
      <w:r w:rsidRPr="006249CD">
        <w:rPr>
          <w:rFonts w:ascii="Times New Roman" w:hAnsi="Times New Roman"/>
          <w:sz w:val="24"/>
          <w:szCs w:val="24"/>
        </w:rPr>
        <w:t xml:space="preserve"> Diện tích ~ 200 m</w:t>
      </w:r>
      <w:r w:rsidRPr="006249CD">
        <w:rPr>
          <w:rFonts w:ascii="Times New Roman" w:hAnsi="Times New Roman"/>
          <w:sz w:val="24"/>
          <w:szCs w:val="24"/>
          <w:vertAlign w:val="superscript"/>
        </w:rPr>
        <w:t>2</w:t>
      </w:r>
      <w:r w:rsidRPr="006249CD">
        <w:rPr>
          <w:rFonts w:ascii="Times New Roman" w:hAnsi="Times New Roman"/>
          <w:sz w:val="24"/>
          <w:szCs w:val="24"/>
        </w:rPr>
        <w:t xml:space="preserve"> mở cửa tới 21:00 hàng ngày kể cả thứ 7 và chủ nhật. Bao gổm hơn 2000 mặt hàng phục vụ nhu cầu của SV.</w:t>
      </w:r>
    </w:p>
    <w:p w:rsidR="00472B27" w:rsidRPr="00892D63" w:rsidRDefault="00472B27" w:rsidP="00472B27">
      <w:pPr>
        <w:numPr>
          <w:ilvl w:val="0"/>
          <w:numId w:val="2"/>
        </w:numPr>
        <w:spacing w:before="0" w:beforeAutospacing="0"/>
        <w:rPr>
          <w:rFonts w:ascii="Times New Roman" w:hAnsi="Times New Roman"/>
          <w:b/>
          <w:sz w:val="24"/>
          <w:szCs w:val="24"/>
        </w:rPr>
      </w:pPr>
      <w:r w:rsidRPr="00892D63">
        <w:rPr>
          <w:rFonts w:ascii="Times New Roman" w:hAnsi="Times New Roman"/>
          <w:b/>
          <w:sz w:val="24"/>
          <w:szCs w:val="24"/>
        </w:rPr>
        <w:t>Khu liên hợp thể thao:</w:t>
      </w:r>
    </w:p>
    <w:p w:rsidR="00472B27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6249CD">
        <w:rPr>
          <w:rFonts w:ascii="Times New Roman" w:hAnsi="Times New Roman"/>
          <w:sz w:val="24"/>
          <w:szCs w:val="24"/>
        </w:rPr>
        <w:t xml:space="preserve">Diện tích sân bóng đá cỏ nhân tạo: Sân bóng đá tiêu chuẩn 5 người (ban ngày: </w:t>
      </w:r>
      <w:r>
        <w:rPr>
          <w:rFonts w:ascii="Times New Roman" w:hAnsi="Times New Roman"/>
          <w:sz w:val="24"/>
          <w:szCs w:val="24"/>
        </w:rPr>
        <w:t xml:space="preserve">Từ 05h00- 20h00 </w:t>
      </w:r>
      <w:r w:rsidRPr="006249CD">
        <w:rPr>
          <w:rFonts w:ascii="Times New Roman" w:hAnsi="Times New Roman"/>
          <w:sz w:val="24"/>
          <w:szCs w:val="24"/>
        </w:rPr>
        <w:t xml:space="preserve">miễn phí; </w:t>
      </w:r>
      <w:r>
        <w:rPr>
          <w:rFonts w:ascii="Times New Roman" w:hAnsi="Times New Roman"/>
          <w:sz w:val="24"/>
          <w:szCs w:val="24"/>
        </w:rPr>
        <w:t xml:space="preserve">Sau 20h </w:t>
      </w:r>
      <w:r w:rsidRPr="006249CD">
        <w:rPr>
          <w:rFonts w:ascii="Times New Roman" w:hAnsi="Times New Roman"/>
          <w:sz w:val="24"/>
          <w:szCs w:val="24"/>
        </w:rPr>
        <w:t>Tối: nếu phát sinh nhu cầu bật điện phí 200K/giờ).</w:t>
      </w:r>
    </w:p>
    <w:p w:rsidR="00472B27" w:rsidRPr="006249CD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Sân đất nện là</w:t>
      </w:r>
      <w:r w:rsidRPr="004973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sân bóng tiêu chuẩn 7 người</w:t>
      </w:r>
      <w:r w:rsidRPr="004973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sử dụng 05h00- 20h00 </w:t>
      </w:r>
    </w:p>
    <w:p w:rsidR="00472B27" w:rsidRPr="006249CD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6249CD">
        <w:rPr>
          <w:rFonts w:ascii="Times New Roman" w:hAnsi="Times New Roman"/>
          <w:sz w:val="24"/>
          <w:szCs w:val="24"/>
        </w:rPr>
        <w:t>Sân trượt băng nhân tạo: Diện tích sân trượt 400 m</w:t>
      </w:r>
      <w:r w:rsidRPr="006249CD">
        <w:rPr>
          <w:rFonts w:ascii="Times New Roman" w:hAnsi="Times New Roman"/>
          <w:sz w:val="24"/>
          <w:szCs w:val="24"/>
          <w:vertAlign w:val="superscript"/>
        </w:rPr>
        <w:t>2</w:t>
      </w:r>
      <w:r w:rsidRPr="006249CD">
        <w:rPr>
          <w:rFonts w:ascii="Times New Roman" w:hAnsi="Times New Roman"/>
          <w:sz w:val="24"/>
          <w:szCs w:val="24"/>
        </w:rPr>
        <w:t xml:space="preserve"> (miễn phí)</w:t>
      </w:r>
    </w:p>
    <w:p w:rsidR="00472B27" w:rsidRPr="006249CD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6249CD">
        <w:rPr>
          <w:rFonts w:ascii="Times New Roman" w:hAnsi="Times New Roman"/>
          <w:sz w:val="24"/>
          <w:szCs w:val="24"/>
        </w:rPr>
        <w:lastRenderedPageBreak/>
        <w:t>Nhà Vovinam: Diện tích ~ 900 m</w:t>
      </w:r>
      <w:r w:rsidRPr="006249CD">
        <w:rPr>
          <w:rFonts w:ascii="Times New Roman" w:hAnsi="Times New Roman"/>
          <w:sz w:val="24"/>
          <w:szCs w:val="24"/>
          <w:vertAlign w:val="superscript"/>
        </w:rPr>
        <w:t>2</w:t>
      </w:r>
      <w:r w:rsidRPr="006249CD">
        <w:rPr>
          <w:rFonts w:ascii="Times New Roman" w:hAnsi="Times New Roman"/>
          <w:sz w:val="24"/>
          <w:szCs w:val="24"/>
        </w:rPr>
        <w:t xml:space="preserve"> Sức chứa tối đa tại 1 thời điểm 04 lớp (120 SV).</w:t>
      </w:r>
    </w:p>
    <w:p w:rsidR="00472B27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 w:rsidRPr="006249CD">
        <w:rPr>
          <w:rFonts w:ascii="Times New Roman" w:hAnsi="Times New Roman"/>
          <w:sz w:val="24"/>
          <w:szCs w:val="24"/>
        </w:rPr>
        <w:t>Phòng tập gym: Số lượng thiết bị tập, bao gồm các thiết bị như thế nào: bao gồm các máy tập được thiết kế đảm bảo phát triển thể hình cho người tập cân đối – toán diện. Phát triển các nhóm cơ lớn của cơ thể. Số lượng thiết bị tập 10 máy tập với mức đâu tư ~ 300 Tr VNĐ. Phòng tập được trang bị gương, hệ thống loa phục vụ nhu cầu của người tập (miễn phí).</w:t>
      </w:r>
    </w:p>
    <w:p w:rsidR="00472B27" w:rsidRDefault="00472B27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Nhà Bóng bàn: Hiện tại có 6 bàn, sinh viên sử dụng miễn phí.</w:t>
      </w:r>
    </w:p>
    <w:p w:rsidR="0057076F" w:rsidRPr="006249CD" w:rsidRDefault="0057076F" w:rsidP="00472B27">
      <w:pPr>
        <w:numPr>
          <w:ilvl w:val="1"/>
          <w:numId w:val="8"/>
        </w:numPr>
        <w:spacing w:before="0" w:before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Khu thể thao đa năng, gồm sân bóng rổ, sân bóng chuyền, khu tậm xà, các máy tập ngoài trời.</w:t>
      </w:r>
    </w:p>
    <w:p w:rsidR="001213F8" w:rsidRPr="001213F8" w:rsidRDefault="001213F8" w:rsidP="001213F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B76C1" w:rsidRDefault="007B0500" w:rsidP="009A457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VI- Giao thông.</w:t>
      </w:r>
    </w:p>
    <w:p w:rsidR="007B0500" w:rsidRPr="00635717" w:rsidRDefault="007B0500" w:rsidP="007B050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5717">
        <w:rPr>
          <w:rFonts w:ascii="Times New Roman" w:hAnsi="Times New Roman" w:cs="Times New Roman"/>
          <w:sz w:val="24"/>
          <w:szCs w:val="24"/>
        </w:rPr>
        <w:t>Xe buyt số 74 : Bến xe cách cổng trường 500m giá vé 9000đ chiều đi từ Sơn Tây về Bến xe Mỹ Đình và ngược lại.</w:t>
      </w:r>
      <w:r w:rsidR="00B25F91">
        <w:rPr>
          <w:rFonts w:ascii="Times New Roman" w:hAnsi="Times New Roman" w:cs="Times New Roman"/>
          <w:sz w:val="24"/>
          <w:szCs w:val="24"/>
        </w:rPr>
        <w:t xml:space="preserve"> vị trí đón các cổng trường.</w:t>
      </w:r>
    </w:p>
    <w:p w:rsidR="007B0500" w:rsidRDefault="007B0500" w:rsidP="007B050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5717">
        <w:rPr>
          <w:rFonts w:ascii="Times New Roman" w:hAnsi="Times New Roman" w:cs="Times New Roman"/>
          <w:sz w:val="24"/>
          <w:szCs w:val="24"/>
        </w:rPr>
        <w:t>Xe buyt số 71 : Bến xe các</w:t>
      </w:r>
      <w:r w:rsidR="00B25F91">
        <w:rPr>
          <w:rFonts w:ascii="Times New Roman" w:hAnsi="Times New Roman" w:cs="Times New Roman"/>
          <w:sz w:val="24"/>
          <w:szCs w:val="24"/>
        </w:rPr>
        <w:t>h</w:t>
      </w:r>
      <w:r w:rsidRPr="00635717">
        <w:rPr>
          <w:rFonts w:ascii="Times New Roman" w:hAnsi="Times New Roman" w:cs="Times New Roman"/>
          <w:sz w:val="24"/>
          <w:szCs w:val="24"/>
        </w:rPr>
        <w:t xml:space="preserve"> trường 1km giá vé 16000đ chiều đi từ Sơn Tây về Bến xe Mỹ Đình và ngược lại.</w:t>
      </w:r>
    </w:p>
    <w:p w:rsidR="00B25F91" w:rsidRPr="00635717" w:rsidRDefault="00B25F91" w:rsidP="007B050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3957"/>
      </w:tblGrid>
      <w:tr w:rsidR="00B25F91" w:rsidTr="00B25F91">
        <w:tc>
          <w:tcPr>
            <w:tcW w:w="4788" w:type="dxa"/>
          </w:tcPr>
          <w:p w:rsidR="00B25F91" w:rsidRDefault="00B25F91" w:rsidP="000A09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B25F91" w:rsidRDefault="00B25F91" w:rsidP="000A09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Phòng Quản lý ký túc xá</w:t>
            </w:r>
          </w:p>
        </w:tc>
      </w:tr>
    </w:tbl>
    <w:p w:rsidR="007B0500" w:rsidRPr="006B76C1" w:rsidRDefault="007B0500" w:rsidP="000A0949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7B0500" w:rsidRPr="006B76C1" w:rsidSect="005E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99D"/>
    <w:multiLevelType w:val="hybridMultilevel"/>
    <w:tmpl w:val="017C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BF9"/>
    <w:multiLevelType w:val="hybridMultilevel"/>
    <w:tmpl w:val="8BCA6C14"/>
    <w:lvl w:ilvl="0" w:tplc="5FBAF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5005F"/>
    <w:multiLevelType w:val="hybridMultilevel"/>
    <w:tmpl w:val="6646E29E"/>
    <w:lvl w:ilvl="0" w:tplc="5FBAFF2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A170BD"/>
    <w:multiLevelType w:val="hybridMultilevel"/>
    <w:tmpl w:val="63AA0EC2"/>
    <w:lvl w:ilvl="0" w:tplc="8C725C8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C84402"/>
    <w:multiLevelType w:val="multilevel"/>
    <w:tmpl w:val="CC52F2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5">
    <w:nsid w:val="53896AC1"/>
    <w:multiLevelType w:val="hybridMultilevel"/>
    <w:tmpl w:val="C0CCED4A"/>
    <w:lvl w:ilvl="0" w:tplc="ACA0EE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502795"/>
    <w:multiLevelType w:val="hybridMultilevel"/>
    <w:tmpl w:val="98209EAA"/>
    <w:lvl w:ilvl="0" w:tplc="00000002">
      <w:start w:val="1"/>
      <w:numFmt w:val="bullet"/>
      <w:lvlText w:val="-"/>
      <w:lvlJc w:val="left"/>
      <w:pPr>
        <w:ind w:left="193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7">
    <w:nsid w:val="72E22AA2"/>
    <w:multiLevelType w:val="multilevel"/>
    <w:tmpl w:val="8A22BDB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FDE"/>
    <w:rsid w:val="00000B5F"/>
    <w:rsid w:val="00035EE3"/>
    <w:rsid w:val="0006373E"/>
    <w:rsid w:val="000A0949"/>
    <w:rsid w:val="000E3834"/>
    <w:rsid w:val="001042CA"/>
    <w:rsid w:val="001213F8"/>
    <w:rsid w:val="00126845"/>
    <w:rsid w:val="0013065E"/>
    <w:rsid w:val="00131850"/>
    <w:rsid w:val="00156D56"/>
    <w:rsid w:val="0015771D"/>
    <w:rsid w:val="00174562"/>
    <w:rsid w:val="001862AB"/>
    <w:rsid w:val="00194EE9"/>
    <w:rsid w:val="001B50DB"/>
    <w:rsid w:val="002127E7"/>
    <w:rsid w:val="00235FDE"/>
    <w:rsid w:val="0027751B"/>
    <w:rsid w:val="00290993"/>
    <w:rsid w:val="00293769"/>
    <w:rsid w:val="002A3D5B"/>
    <w:rsid w:val="002F5407"/>
    <w:rsid w:val="00300ECC"/>
    <w:rsid w:val="00342DA8"/>
    <w:rsid w:val="0038095D"/>
    <w:rsid w:val="00383E7B"/>
    <w:rsid w:val="00395EBB"/>
    <w:rsid w:val="003B2A5B"/>
    <w:rsid w:val="003E0FAE"/>
    <w:rsid w:val="00430585"/>
    <w:rsid w:val="00442C10"/>
    <w:rsid w:val="004530F0"/>
    <w:rsid w:val="00472B27"/>
    <w:rsid w:val="0049359D"/>
    <w:rsid w:val="00497AE6"/>
    <w:rsid w:val="004A2AD8"/>
    <w:rsid w:val="004D294A"/>
    <w:rsid w:val="004E19A9"/>
    <w:rsid w:val="005129A3"/>
    <w:rsid w:val="0057076F"/>
    <w:rsid w:val="0057478A"/>
    <w:rsid w:val="00582F39"/>
    <w:rsid w:val="005954B0"/>
    <w:rsid w:val="005E5CEC"/>
    <w:rsid w:val="00606531"/>
    <w:rsid w:val="00635717"/>
    <w:rsid w:val="00663615"/>
    <w:rsid w:val="0069037F"/>
    <w:rsid w:val="00691911"/>
    <w:rsid w:val="00697DAC"/>
    <w:rsid w:val="006A4328"/>
    <w:rsid w:val="006B76C1"/>
    <w:rsid w:val="006D3BA7"/>
    <w:rsid w:val="006E2A9A"/>
    <w:rsid w:val="00701353"/>
    <w:rsid w:val="00717D48"/>
    <w:rsid w:val="00731337"/>
    <w:rsid w:val="00740571"/>
    <w:rsid w:val="0074278C"/>
    <w:rsid w:val="00767D43"/>
    <w:rsid w:val="00782562"/>
    <w:rsid w:val="007B0500"/>
    <w:rsid w:val="007B61FE"/>
    <w:rsid w:val="00835907"/>
    <w:rsid w:val="0086453F"/>
    <w:rsid w:val="00875E9A"/>
    <w:rsid w:val="008B4698"/>
    <w:rsid w:val="008D7CBB"/>
    <w:rsid w:val="008F3D73"/>
    <w:rsid w:val="00901478"/>
    <w:rsid w:val="00922F15"/>
    <w:rsid w:val="00961502"/>
    <w:rsid w:val="009A4577"/>
    <w:rsid w:val="009C3D07"/>
    <w:rsid w:val="00A11C19"/>
    <w:rsid w:val="00A72F98"/>
    <w:rsid w:val="00AA4AE9"/>
    <w:rsid w:val="00AA667B"/>
    <w:rsid w:val="00AD1F09"/>
    <w:rsid w:val="00AF2EE1"/>
    <w:rsid w:val="00B0506F"/>
    <w:rsid w:val="00B1316A"/>
    <w:rsid w:val="00B25F91"/>
    <w:rsid w:val="00B82034"/>
    <w:rsid w:val="00C0025E"/>
    <w:rsid w:val="00C03E94"/>
    <w:rsid w:val="00C43A6B"/>
    <w:rsid w:val="00C52834"/>
    <w:rsid w:val="00C65D70"/>
    <w:rsid w:val="00CA0547"/>
    <w:rsid w:val="00CE76F1"/>
    <w:rsid w:val="00D122F9"/>
    <w:rsid w:val="00D82666"/>
    <w:rsid w:val="00DA22C3"/>
    <w:rsid w:val="00DC0ADA"/>
    <w:rsid w:val="00E05BEE"/>
    <w:rsid w:val="00E844FC"/>
    <w:rsid w:val="00E915B3"/>
    <w:rsid w:val="00EA71DF"/>
    <w:rsid w:val="00F15812"/>
    <w:rsid w:val="00F757C3"/>
    <w:rsid w:val="00F94BEA"/>
    <w:rsid w:val="00F966DE"/>
    <w:rsid w:val="00F9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E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DE"/>
    <w:pPr>
      <w:ind w:left="720"/>
      <w:contextualSpacing/>
    </w:pPr>
  </w:style>
  <w:style w:type="table" w:styleId="TableGrid">
    <w:name w:val="Table Grid"/>
    <w:basedOn w:val="TableNormal"/>
    <w:uiPriority w:val="59"/>
    <w:rsid w:val="003B2A5B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sid w:val="00000B5F"/>
    <w:rPr>
      <w:rFonts w:ascii="Symbol" w:hAnsi="Symbol"/>
    </w:rPr>
  </w:style>
  <w:style w:type="paragraph" w:customStyle="1" w:styleId="Refer">
    <w:name w:val="Refer"/>
    <w:basedOn w:val="Normal"/>
    <w:rsid w:val="00000B5F"/>
    <w:pPr>
      <w:suppressAutoHyphens/>
      <w:spacing w:before="120" w:beforeAutospacing="0" w:after="120" w:line="240" w:lineRule="auto"/>
      <w:ind w:firstLine="720"/>
    </w:pPr>
    <w:rPr>
      <w:rFonts w:ascii=".VnTime" w:eastAsia="MS Mincho" w:hAnsi=".VnTime" w:cs="Times New Roman"/>
      <w:noProof w:val="0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8150-FAA2-452B-BA20-6320DABA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admin</cp:lastModifiedBy>
  <cp:revision>100</cp:revision>
  <dcterms:created xsi:type="dcterms:W3CDTF">2013-10-07T14:27:00Z</dcterms:created>
  <dcterms:modified xsi:type="dcterms:W3CDTF">2016-09-06T05:02:00Z</dcterms:modified>
</cp:coreProperties>
</file>