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8418E" w14:textId="767F9B3B" w:rsidR="001C1A6E" w:rsidRPr="001C1A6E" w:rsidRDefault="001C1A6E" w:rsidP="0048647D">
      <w:pPr>
        <w:bidi/>
        <w:rPr>
          <w:b/>
          <w:bCs/>
        </w:rPr>
      </w:pPr>
    </w:p>
    <w:p w14:paraId="610AE4EC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החלטת</w:t>
      </w:r>
      <w:r w:rsidRPr="001C1A6E">
        <w:rPr>
          <w:b/>
          <w:bCs/>
          <w:rtl/>
        </w:rPr>
        <w:t xml:space="preserve"> מיסוי 16/06</w:t>
      </w:r>
      <w:r w:rsidRPr="001C1A6E">
        <w:rPr>
          <w:rtl/>
        </w:rPr>
        <w:t xml:space="preserve"> </w:t>
      </w:r>
      <w:r w:rsidRPr="001C1A6E">
        <w:rPr>
          <w:b/>
          <w:bCs/>
          <w:rtl/>
        </w:rPr>
        <w:t>תחום החלטת המיסוי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 xml:space="preserve">מיסוי שוק ההון </w:t>
      </w:r>
      <w:r w:rsidRPr="001C1A6E">
        <w:rPr>
          <w:b/>
          <w:bCs/>
          <w:rtl/>
        </w:rPr>
        <w:t>הנושא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 xml:space="preserve">איגוח תזרים מזומנים מליסינג תפעולי - החלטת מיסוי בהסכם </w:t>
      </w:r>
    </w:p>
    <w:p w14:paraId="79FD0C18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העובדות</w:t>
      </w:r>
      <w:r w:rsidRPr="001C1A6E">
        <w:rPr>
          <w:b/>
          <w:bCs/>
        </w:rPr>
        <w:t>:</w:t>
      </w:r>
      <w:r w:rsidRPr="001C1A6E">
        <w:t xml:space="preserve"> </w:t>
      </w:r>
    </w:p>
    <w:p w14:paraId="7BC5F72A" w14:textId="77777777" w:rsidR="001C1A6E" w:rsidRPr="001C1A6E" w:rsidRDefault="001C1A6E" w:rsidP="001C1A6E">
      <w:pPr>
        <w:numPr>
          <w:ilvl w:val="0"/>
          <w:numId w:val="3"/>
        </w:numPr>
        <w:bidi/>
      </w:pPr>
      <w:r w:rsidRPr="001C1A6E">
        <w:rPr>
          <w:rtl/>
        </w:rPr>
        <w:t>חברה תושבת ישראל (להלן: "החברה"), מעוניינת לגוון את מקורות המימון שלה, ע"י מכירת תזרים מזומנים עתידי הנובע מליסינג תפעולי לחברת בת ייעודית (להלן: "החברה הייעודית"), בתמורה לקבלת כל שווי תזרים המזומנים העתידי המהוון להיום</w:t>
      </w:r>
      <w:r w:rsidRPr="001C1A6E">
        <w:t xml:space="preserve">. </w:t>
      </w:r>
    </w:p>
    <w:p w14:paraId="74A80F99" w14:textId="77777777" w:rsidR="001C1A6E" w:rsidRPr="001C1A6E" w:rsidRDefault="001C1A6E" w:rsidP="001C1A6E">
      <w:pPr>
        <w:numPr>
          <w:ilvl w:val="0"/>
          <w:numId w:val="3"/>
        </w:numPr>
        <w:bidi/>
      </w:pPr>
      <w:r w:rsidRPr="001C1A6E">
        <w:rPr>
          <w:rtl/>
        </w:rPr>
        <w:t xml:space="preserve">על מנת לרכוש את כל תזרים המזומנים העתידי המהוון כאמור, תנפיק החברה </w:t>
      </w:r>
      <w:proofErr w:type="spellStart"/>
      <w:r w:rsidRPr="001C1A6E">
        <w:rPr>
          <w:rtl/>
        </w:rPr>
        <w:t>היעודית</w:t>
      </w:r>
      <w:proofErr w:type="spellEnd"/>
      <w:r w:rsidRPr="001C1A6E">
        <w:rPr>
          <w:rtl/>
        </w:rPr>
        <w:t xml:space="preserve"> אג"ח המגובות </w:t>
      </w:r>
      <w:proofErr w:type="spellStart"/>
      <w:r w:rsidRPr="001C1A6E">
        <w:rPr>
          <w:rtl/>
        </w:rPr>
        <w:t>בתזרים</w:t>
      </w:r>
      <w:proofErr w:type="spellEnd"/>
      <w:r w:rsidRPr="001C1A6E">
        <w:rPr>
          <w:rtl/>
        </w:rPr>
        <w:t xml:space="preserve"> המזומנים העתידי (מכירת תזרים המזומנים העתידי והנפקת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 xml:space="preserve"> ע"י החברה הייעודית, יכונו, להלן: "עסקת האיגוח</w:t>
      </w:r>
      <w:r w:rsidRPr="001C1A6E">
        <w:t xml:space="preserve">"). </w:t>
      </w:r>
    </w:p>
    <w:p w14:paraId="6E6B5ED5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פרטי הבקשה</w:t>
      </w:r>
      <w:r w:rsidRPr="001C1A6E">
        <w:rPr>
          <w:b/>
          <w:bCs/>
        </w:rPr>
        <w:t>:</w:t>
      </w:r>
      <w:r w:rsidRPr="001C1A6E">
        <w:t xml:space="preserve"> </w:t>
      </w:r>
    </w:p>
    <w:p w14:paraId="28221421" w14:textId="77777777" w:rsidR="001C1A6E" w:rsidRPr="001C1A6E" w:rsidRDefault="001C1A6E" w:rsidP="001C1A6E">
      <w:pPr>
        <w:numPr>
          <w:ilvl w:val="0"/>
          <w:numId w:val="4"/>
        </w:numPr>
        <w:bidi/>
      </w:pPr>
      <w:r w:rsidRPr="001C1A6E">
        <w:rPr>
          <w:rtl/>
        </w:rPr>
        <w:t>סיווג עסקת האיגוח כעסקת מימון ולא כעסקת מכר</w:t>
      </w:r>
      <w:r w:rsidRPr="001C1A6E">
        <w:t xml:space="preserve">. </w:t>
      </w:r>
    </w:p>
    <w:p w14:paraId="3E6B0E7B" w14:textId="77777777" w:rsidR="001C1A6E" w:rsidRPr="001C1A6E" w:rsidRDefault="001C1A6E" w:rsidP="001C1A6E">
      <w:pPr>
        <w:numPr>
          <w:ilvl w:val="0"/>
          <w:numId w:val="4"/>
        </w:numPr>
        <w:bidi/>
      </w:pPr>
      <w:r w:rsidRPr="001C1A6E">
        <w:rPr>
          <w:rtl/>
        </w:rPr>
        <w:t>להשקיף לצרכי מס את פעילות החברה הייעודית ותוצאותיה כלפי החברה</w:t>
      </w:r>
      <w:r w:rsidRPr="001C1A6E">
        <w:t xml:space="preserve">. </w:t>
      </w:r>
    </w:p>
    <w:p w14:paraId="2C174C04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החלטת המיסוי ותנאיה</w:t>
      </w:r>
      <w:r w:rsidRPr="001C1A6E">
        <w:rPr>
          <w:b/>
          <w:bCs/>
        </w:rPr>
        <w:t>:</w:t>
      </w:r>
      <w:r w:rsidRPr="001C1A6E">
        <w:t xml:space="preserve"> </w:t>
      </w:r>
    </w:p>
    <w:p w14:paraId="14CC0C4C" w14:textId="77777777" w:rsidR="001C1A6E" w:rsidRPr="001C1A6E" w:rsidRDefault="001C1A6E" w:rsidP="001C1A6E">
      <w:pPr>
        <w:numPr>
          <w:ilvl w:val="0"/>
          <w:numId w:val="5"/>
        </w:numPr>
        <w:bidi/>
      </w:pPr>
      <w:r w:rsidRPr="001C1A6E">
        <w:rPr>
          <w:rtl/>
        </w:rPr>
        <w:t>עסקת האיגוח תסווג כעסקת מימון, לצרכי מס, בכפוף לעמידה בכל התנאים הבאים</w:t>
      </w:r>
      <w:r w:rsidRPr="001C1A6E">
        <w:t xml:space="preserve">: 1.1. </w:t>
      </w:r>
      <w:r w:rsidRPr="001C1A6E">
        <w:rPr>
          <w:rtl/>
        </w:rPr>
        <w:t xml:space="preserve">כספי תמורת הנפקת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 xml:space="preserve"> יועברו מהחברה הייעודית לחברה (בכפוף </w:t>
      </w:r>
      <w:proofErr w:type="spellStart"/>
      <w:r w:rsidRPr="001C1A6E">
        <w:rPr>
          <w:rtl/>
        </w:rPr>
        <w:t>לבטחונות</w:t>
      </w:r>
      <w:proofErr w:type="spellEnd"/>
      <w:r w:rsidRPr="001C1A6E">
        <w:rPr>
          <w:rtl/>
        </w:rPr>
        <w:t xml:space="preserve"> עפ"י דרישת חברות הדירוג)</w:t>
      </w:r>
      <w:r w:rsidRPr="001C1A6E">
        <w:t xml:space="preserve">. 1.2. </w:t>
      </w:r>
      <w:r w:rsidRPr="001C1A6E">
        <w:rPr>
          <w:rtl/>
        </w:rPr>
        <w:t xml:space="preserve">החברה לא תמכור את סדרת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 xml:space="preserve"> הנחותה (כרית בטחון), אותה תרכוש מהחברה הייעודית במסגרת הנפקת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 xml:space="preserve">, למשך כל תקופת </w:t>
      </w:r>
      <w:proofErr w:type="spellStart"/>
      <w:r w:rsidRPr="001C1A6E">
        <w:rPr>
          <w:rtl/>
        </w:rPr>
        <w:t>האג"ח</w:t>
      </w:r>
      <w:proofErr w:type="spellEnd"/>
      <w:r w:rsidRPr="001C1A6E">
        <w:t xml:space="preserve">. 1.3. </w:t>
      </w:r>
      <w:r w:rsidRPr="001C1A6E">
        <w:rPr>
          <w:rtl/>
        </w:rPr>
        <w:t xml:space="preserve">החברה תייעד את תמורת הנפקת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 xml:space="preserve"> לפעילותה העסקית, לרבות פעילות עסקית בחברות קשורות בלבד, קרי, החברה לא תעביר סכומי כספים, במהלך כל תקופת חיי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>, לכל פעילות שאינה פעילות עסקית, ובכלל זה לא תעביר סכומי כספים, בכל דרך שהיא, לבעלי מניותיה או ל"קרוב", כהגדרת המונח בסעיף 88 לפקודה, לחברה או לבעלי מניותיה</w:t>
      </w:r>
      <w:r w:rsidRPr="001C1A6E">
        <w:t xml:space="preserve">. 1.4. </w:t>
      </w:r>
      <w:r w:rsidRPr="001C1A6E">
        <w:rPr>
          <w:rtl/>
        </w:rPr>
        <w:t>הועברו כספים לפעילות שאינה פעילות עסקית, כאמור לעיל, תחויב החברה בגין העברה זו במס חברות, ויערכו התאמות לעתיד בהתאם</w:t>
      </w:r>
      <w:r w:rsidRPr="001C1A6E">
        <w:t xml:space="preserve">. </w:t>
      </w:r>
    </w:p>
    <w:p w14:paraId="73008717" w14:textId="77777777" w:rsidR="001C1A6E" w:rsidRPr="001C1A6E" w:rsidRDefault="001C1A6E" w:rsidP="001C1A6E">
      <w:pPr>
        <w:numPr>
          <w:ilvl w:val="0"/>
          <w:numId w:val="5"/>
        </w:numPr>
        <w:bidi/>
      </w:pPr>
      <w:r w:rsidRPr="001C1A6E">
        <w:rPr>
          <w:rtl/>
        </w:rPr>
        <w:t>החברה הייעודית תהיה חברה שקופה לחלוטין לצורכי מס, ולפיכך, כל הכנסותיה ו/או תקבוליה ו/או הוצאותיה תחשבנה להכנסותיה ו/או תקבוליה ו/או הוצאותיה של החברה</w:t>
      </w:r>
      <w:r w:rsidRPr="001C1A6E">
        <w:t xml:space="preserve">; </w:t>
      </w:r>
      <w:r w:rsidRPr="001C1A6E">
        <w:rPr>
          <w:rtl/>
        </w:rPr>
        <w:t xml:space="preserve">והכל, כאילו שהזכויות </w:t>
      </w:r>
      <w:proofErr w:type="spellStart"/>
      <w:r w:rsidRPr="001C1A6E">
        <w:rPr>
          <w:rtl/>
        </w:rPr>
        <w:t>שהומחו</w:t>
      </w:r>
      <w:proofErr w:type="spellEnd"/>
      <w:r w:rsidRPr="001C1A6E">
        <w:rPr>
          <w:rtl/>
        </w:rPr>
        <w:t xml:space="preserve"> נשארו בידי החברה, וכן כאילו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 xml:space="preserve"> הונפק על ידי החברה ולא על ידי החברה הייעודית, בכפוף לעמידה בתנאים, כפי שיובאו להלן</w:t>
      </w:r>
      <w:r w:rsidRPr="001C1A6E">
        <w:t xml:space="preserve"> : 2.1. </w:t>
      </w:r>
      <w:r w:rsidRPr="001C1A6E">
        <w:rPr>
          <w:rtl/>
        </w:rPr>
        <w:t>המחאת תזרים המזומנים מאת החברה לחברה הייעודית לא תהווה מכירה לעניין חלק ה' לפקודה או סעיף 2 לפקודה</w:t>
      </w:r>
      <w:r w:rsidRPr="001C1A6E">
        <w:t xml:space="preserve">. </w:t>
      </w:r>
      <w:r w:rsidRPr="001C1A6E">
        <w:rPr>
          <w:rtl/>
        </w:rPr>
        <w:t>מנגד, הכנסות ו/או תקבולי החברה הייעודית מעסקאות השכירות יחשבו כהכנסה בידי החברה לצורכי מס, וידווחו בהתאם למדיניות ההכרה בהכנסות של החברה, אילולא נעשתה עסקת האיגוח</w:t>
      </w:r>
      <w:r w:rsidRPr="001C1A6E">
        <w:t xml:space="preserve">. --- PAGE 2 --- 2.2. </w:t>
      </w:r>
      <w:r w:rsidRPr="001C1A6E">
        <w:rPr>
          <w:rtl/>
        </w:rPr>
        <w:t xml:space="preserve">במידה שהחברה הייעודית תהא חדלת פירעון, ומחזיקי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 xml:space="preserve"> לא יוכלו להיפרע מן החברה הייעודית, תהווה יתרת החוב (קרן, הפרשי הצמדה וריבית) שטרם נפרעה (להלן : "החוב הנמחל"), הכנסה עסקית </w:t>
      </w:r>
      <w:proofErr w:type="spellStart"/>
      <w:r w:rsidRPr="001C1A6E">
        <w:rPr>
          <w:rtl/>
        </w:rPr>
        <w:t>פירותית</w:t>
      </w:r>
      <w:proofErr w:type="spellEnd"/>
      <w:r w:rsidRPr="001C1A6E">
        <w:rPr>
          <w:rtl/>
        </w:rPr>
        <w:t xml:space="preserve"> בידי החברה</w:t>
      </w:r>
      <w:r w:rsidRPr="001C1A6E">
        <w:t xml:space="preserve">. </w:t>
      </w:r>
      <w:r w:rsidRPr="001C1A6E">
        <w:rPr>
          <w:rtl/>
        </w:rPr>
        <w:t>לעניין זה, "החוב הנמחל" לרבות חוב שבעל החוב נהג בו כאילו נמחל לו או ששומט חובו</w:t>
      </w:r>
      <w:r w:rsidRPr="001C1A6E">
        <w:t xml:space="preserve">. </w:t>
      </w:r>
      <w:r w:rsidRPr="001C1A6E">
        <w:rPr>
          <w:rtl/>
        </w:rPr>
        <w:t>כנגד ה"הכנסה" העסקית מהחוב הנמחל, ניתן יהיה לקזז הפסדים עסקיים בלבד, לרבות חובות אבודים בחברה הייעודית</w:t>
      </w:r>
      <w:r w:rsidRPr="001C1A6E">
        <w:t xml:space="preserve">. 2.3. </w:t>
      </w:r>
      <w:r w:rsidRPr="001C1A6E">
        <w:rPr>
          <w:rtl/>
        </w:rPr>
        <w:t>החברה הייעודית לא תהא רשאית להחזיק ו/או לרכוש נכסים או התחייבויות, למעט אלה הדרושים לצורך מילוי התחייבויותיה לעניין הסכמי השכירות נשוא עסקת האיגוח ולעניין הסכמי ההלוואה בינה ובין המשקיעים (אג"ח)</w:t>
      </w:r>
      <w:r w:rsidRPr="001C1A6E">
        <w:t xml:space="preserve">. 2.4. </w:t>
      </w:r>
      <w:r w:rsidRPr="001C1A6E">
        <w:rPr>
          <w:rtl/>
        </w:rPr>
        <w:t xml:space="preserve">עם פירעונו המלא של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>, תתחסל החברה הייעודית, וכל נכסיה, במידה שיהיו כאלה, יועברו לחברה. העברת הנכסים כאמור, לא תהווה אירוע מס - לא אצל החברה ולא אצל החברה הייעודית</w:t>
      </w:r>
      <w:r w:rsidRPr="001C1A6E">
        <w:t xml:space="preserve">. 2.5. </w:t>
      </w:r>
      <w:r w:rsidRPr="001C1A6E">
        <w:rPr>
          <w:rtl/>
        </w:rPr>
        <w:t xml:space="preserve">לצורך יישום הוראות חוק התיאומים אצל החברה, במקום חשבון ההשקעה המאזני בחברה הייעודית, יבואו נכסיה והתחייבויותיה של החברה </w:t>
      </w:r>
      <w:r w:rsidRPr="001C1A6E">
        <w:rPr>
          <w:rtl/>
        </w:rPr>
        <w:lastRenderedPageBreak/>
        <w:t>הייעודית (המאזן המאוחד של החברה עם החברה הייעודית)</w:t>
      </w:r>
      <w:r w:rsidRPr="001C1A6E">
        <w:t xml:space="preserve">. 2.6. </w:t>
      </w:r>
      <w:r w:rsidRPr="001C1A6E">
        <w:rPr>
          <w:rtl/>
        </w:rPr>
        <w:t xml:space="preserve">החברה הייעודית תוחזק במלואה בבעלותה של החברה, ממועד הנפקת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 xml:space="preserve"> ועד לפירעון הסופי של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 xml:space="preserve"> המונפקות, ובכפוף לזכויות מוגדרות שיוקנו לנאמן לצורך הגנה על מחזיקי </w:t>
      </w:r>
      <w:proofErr w:type="spellStart"/>
      <w:r w:rsidRPr="001C1A6E">
        <w:rPr>
          <w:rtl/>
        </w:rPr>
        <w:t>האג"ח</w:t>
      </w:r>
      <w:proofErr w:type="spellEnd"/>
      <w:r w:rsidRPr="001C1A6E">
        <w:t xml:space="preserve">. </w:t>
      </w:r>
    </w:p>
    <w:p w14:paraId="764B6222" w14:textId="77777777" w:rsidR="001C1A6E" w:rsidRPr="001C1A6E" w:rsidRDefault="001C1A6E" w:rsidP="001C1A6E">
      <w:pPr>
        <w:numPr>
          <w:ilvl w:val="0"/>
          <w:numId w:val="5"/>
        </w:numPr>
        <w:bidi/>
      </w:pPr>
      <w:r w:rsidRPr="001C1A6E">
        <w:rPr>
          <w:rtl/>
        </w:rPr>
        <w:t xml:space="preserve">החלטת המיסוי מהווה גם אישור פטור מניכוי מס במקור לגבי תזרים המזומנים הצפוי מהחברה לחברה הייעודית, לאורך תקופת חיי </w:t>
      </w:r>
      <w:proofErr w:type="spellStart"/>
      <w:r w:rsidRPr="001C1A6E">
        <w:rPr>
          <w:rtl/>
        </w:rPr>
        <w:t>האג"ח</w:t>
      </w:r>
      <w:proofErr w:type="spellEnd"/>
      <w:r w:rsidRPr="001C1A6E">
        <w:rPr>
          <w:rtl/>
        </w:rPr>
        <w:t>, לכל דבר ועניין</w:t>
      </w:r>
      <w:r w:rsidRPr="001C1A6E">
        <w:t xml:space="preserve">. </w:t>
      </w:r>
    </w:p>
    <w:p w14:paraId="45009807" w14:textId="77777777" w:rsidR="001C1A6E" w:rsidRPr="001C1A6E" w:rsidRDefault="001C1A6E" w:rsidP="001C1A6E">
      <w:pPr>
        <w:numPr>
          <w:ilvl w:val="0"/>
          <w:numId w:val="5"/>
        </w:numPr>
        <w:bidi/>
      </w:pPr>
      <w:r w:rsidRPr="001C1A6E">
        <w:rPr>
          <w:rtl/>
        </w:rPr>
        <w:t>במסגרת החלטת המיסוי נקבעו מגבלות ותנאים נוספים</w:t>
      </w:r>
      <w:r w:rsidRPr="001C1A6E">
        <w:t xml:space="preserve">. </w:t>
      </w:r>
    </w:p>
    <w:p w14:paraId="486480BA" w14:textId="52AB428D" w:rsidR="001C1A6E" w:rsidRPr="001C1A6E" w:rsidRDefault="001C1A6E" w:rsidP="001C1A6E">
      <w:pPr>
        <w:bidi/>
      </w:pPr>
    </w:p>
    <w:p w14:paraId="257E63E4" w14:textId="77777777" w:rsidR="003017C1" w:rsidRPr="001C1A6E" w:rsidRDefault="003017C1" w:rsidP="001C1A6E">
      <w:pPr>
        <w:bidi/>
      </w:pPr>
    </w:p>
    <w:sectPr w:rsidR="003017C1" w:rsidRPr="001C1A6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2BEB"/>
    <w:multiLevelType w:val="multilevel"/>
    <w:tmpl w:val="08D2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44B1D"/>
    <w:multiLevelType w:val="multilevel"/>
    <w:tmpl w:val="BBDE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C5925"/>
    <w:multiLevelType w:val="multilevel"/>
    <w:tmpl w:val="54AE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621A2"/>
    <w:multiLevelType w:val="multilevel"/>
    <w:tmpl w:val="DE56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E6091"/>
    <w:multiLevelType w:val="multilevel"/>
    <w:tmpl w:val="D50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F083A"/>
    <w:multiLevelType w:val="multilevel"/>
    <w:tmpl w:val="B468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F6CA7"/>
    <w:multiLevelType w:val="multilevel"/>
    <w:tmpl w:val="0B1E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816AB"/>
    <w:multiLevelType w:val="multilevel"/>
    <w:tmpl w:val="CC90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B0CF2"/>
    <w:multiLevelType w:val="multilevel"/>
    <w:tmpl w:val="A044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E1C21"/>
    <w:multiLevelType w:val="multilevel"/>
    <w:tmpl w:val="9B26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C2DE5"/>
    <w:multiLevelType w:val="multilevel"/>
    <w:tmpl w:val="C958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41022"/>
    <w:multiLevelType w:val="multilevel"/>
    <w:tmpl w:val="1268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A79FB"/>
    <w:multiLevelType w:val="multilevel"/>
    <w:tmpl w:val="E7AC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8F626A"/>
    <w:multiLevelType w:val="multilevel"/>
    <w:tmpl w:val="A144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8572F"/>
    <w:multiLevelType w:val="multilevel"/>
    <w:tmpl w:val="CA44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14"/>
  </w:num>
  <w:num w:numId="5">
    <w:abstractNumId w:val="12"/>
  </w:num>
  <w:num w:numId="6">
    <w:abstractNumId w:val="11"/>
  </w:num>
  <w:num w:numId="7">
    <w:abstractNumId w:val="9"/>
  </w:num>
  <w:num w:numId="8">
    <w:abstractNumId w:val="6"/>
  </w:num>
  <w:num w:numId="9">
    <w:abstractNumId w:val="7"/>
  </w:num>
  <w:num w:numId="10">
    <w:abstractNumId w:val="0"/>
  </w:num>
  <w:num w:numId="11">
    <w:abstractNumId w:val="4"/>
  </w:num>
  <w:num w:numId="12">
    <w:abstractNumId w:val="2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6E"/>
    <w:rsid w:val="00164828"/>
    <w:rsid w:val="001C1A6E"/>
    <w:rsid w:val="003017C1"/>
    <w:rsid w:val="0048647D"/>
    <w:rsid w:val="006E11BE"/>
    <w:rsid w:val="00BD3178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47A6"/>
  <w15:chartTrackingRefBased/>
  <w15:docId w15:val="{8A209ECA-F8A2-4AF1-B3DE-02C09F32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4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3</cp:revision>
  <dcterms:created xsi:type="dcterms:W3CDTF">2026-02-02T06:24:00Z</dcterms:created>
  <dcterms:modified xsi:type="dcterms:W3CDTF">2026-02-02T06:28:00Z</dcterms:modified>
</cp:coreProperties>
</file>