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B5C10" w14:textId="77777777" w:rsidR="00F1376B" w:rsidRPr="00B42BF3" w:rsidRDefault="00F1376B" w:rsidP="00F1376B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החלטת מיסוי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26/06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76</w:t>
      </w:r>
    </w:p>
    <w:p w14:paraId="25A79985" w14:textId="77777777" w:rsidR="00F1376B" w:rsidRDefault="00F1376B" w:rsidP="00F1376B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תחום החלטת המיסוי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>: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מיסוי מקרקעין </w:t>
      </w:r>
    </w:p>
    <w:p w14:paraId="29B956A3" w14:textId="77777777" w:rsidR="00F1376B" w:rsidRPr="00B42BF3" w:rsidRDefault="00F1376B" w:rsidP="00F1376B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הנושא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>: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פירוק שיתוף בין בעלי זכויות באיגוד מקרקעין (סעיפים 71 - 167 לחוק) - החלטת מיסוי בהסכם </w:t>
      </w:r>
    </w:p>
    <w:p w14:paraId="463D8474" w14:textId="77777777" w:rsidR="00F1376B" w:rsidRPr="00B42BF3" w:rsidRDefault="00F1376B" w:rsidP="00F1376B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העובדות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>: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</w:t>
      </w:r>
    </w:p>
    <w:p w14:paraId="410F3CCB" w14:textId="77777777" w:rsidR="00F1376B" w:rsidRPr="00B42BF3" w:rsidRDefault="00F1376B" w:rsidP="00F1376B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חברת א' בע"מ (להלן: "החברה") הינה חברה אשר בבעלותה נכס מקרקעין מניב (להלן: "המבנה"). המבנה אינו מכיל דירות מגורים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80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009C0BBF" w14:textId="77777777" w:rsidR="00F1376B" w:rsidRPr="00B42BF3" w:rsidRDefault="00F1376B" w:rsidP="00F1376B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במניות החברה מחזיקים 5 קבוצות של בעלי מניות, כאשר כל אחת מהקבוצות מחזיקה 20% מהזכויות בחברה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81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 קבוצות בעלי המניות אינן קרובות זו לזו, אולם בתוך כל קבוצה מתקיימים קשרי קירבה בין חברי הקבוצה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82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7D7B433F" w14:textId="77777777" w:rsidR="00F1376B" w:rsidRPr="00B42BF3" w:rsidRDefault="00F1376B" w:rsidP="00F1376B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מועד רכישת הזכויות בחברה על ידי בעלי המניות היה בשנות ה-60', וכבר אז הייתה החברה בעלים של הזכות במקרקעין שעליה הוקם לאחר מכן המבנה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83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7CCFD62C" w14:textId="77777777" w:rsidR="00F1376B" w:rsidRPr="00B42BF3" w:rsidRDefault="00F1376B" w:rsidP="00F1376B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לחברה לא היו נכסים נוספים מעבר למבנה מאז נרכשו הזכויות בשנות ה-60', למעט הלוואה שנתנה בעבר החברה לחברה הקשורה לבעלי המניות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84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4C585F54" w14:textId="77777777" w:rsidR="00F1376B" w:rsidRPr="00B42BF3" w:rsidRDefault="00F1376B" w:rsidP="00F1376B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במועד הבקשה לחברה אין נכסים נוספים לבד מהמבנה ומיתרת מזומנים בקופה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85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 לחברה התחייבויות כלפי צדדים שלישיים (בעיקר, כלפי בנק משיכת יתר) בסכומים הנמוכים מיתרת המזומנים הנמצאים ברשותה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86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754DF167" w14:textId="77777777" w:rsidR="00F1376B" w:rsidRPr="00B42BF3" w:rsidRDefault="00F1376B" w:rsidP="00F1376B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לחברה הכנסות משכר דירה וכן הוצאות הכרוכות בתפעול המבנה, לרבות משכורת שוטפת למנהל המבנה והוצאות לנותני שירותים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87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4A32FF18" w14:textId="77777777" w:rsidR="00F1376B" w:rsidRPr="00B42BF3" w:rsidRDefault="00F1376B" w:rsidP="00F1376B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באופן כללי, הרווחים השוטפים של החברה מהפעלת המבנה מועברים כדיבידנד לבעלי המניות, וזאת תוך ניכוי הסכומים הדרושים לכיסוי ההתחייבויות לצדדים שלישיים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88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21710D2B" w14:textId="77777777" w:rsidR="00F1376B" w:rsidRPr="00B42BF3" w:rsidRDefault="00F1376B" w:rsidP="00F1376B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המבנה כולל 15 יחידות הרשומות באופן נפרד בטאבו, על שם החברה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89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0912EF1C" w14:textId="77777777" w:rsidR="00F1376B" w:rsidRPr="00B42BF3" w:rsidRDefault="00F1376B" w:rsidP="00F1376B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על המבנה לא מוטל שיעבוד או משכנתא כלשהי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90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366BB966" w14:textId="77777777" w:rsidR="00F1376B" w:rsidRPr="00B42BF3" w:rsidRDefault="00F1376B" w:rsidP="00F1376B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מאזן החברה ערב הפירוק יכלול את המבנה כנגד הון מניות בלבד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91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5DB448AF" w14:textId="77777777" w:rsidR="00F1376B" w:rsidRDefault="00F1376B" w:rsidP="00F1376B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פרטי 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הבקשה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>: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92</w:t>
      </w:r>
    </w:p>
    <w:p w14:paraId="6855381D" w14:textId="77777777" w:rsidR="00F1376B" w:rsidRPr="00B42BF3" w:rsidRDefault="00F1376B" w:rsidP="00F1376B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מבוקש פירוק החברה לפי סעיף 71 לחוק מיסוי מקרקעין (שבח, מכירה ורכישה), התשכ"ג-1963 (להלן: "החוק") וחלוקת המבנה בין בעליו המשותפים בפטור ממס לפי סעיף 67 לחוק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93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2856A8DF" w14:textId="77777777" w:rsidR="00F1376B" w:rsidRPr="00B42BF3" w:rsidRDefault="00F1376B" w:rsidP="00F1376B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rtl/>
          <w:lang w:eastAsia="en-IL"/>
        </w:rPr>
        <w:t>החלטת המיסוי ותנאיה</w:t>
      </w:r>
      <w:r w:rsidRPr="00B42BF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  <w:lang w:eastAsia="en-IL"/>
        </w:rPr>
        <w:t>: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94</w:t>
      </w:r>
    </w:p>
    <w:p w14:paraId="1F9941EA" w14:textId="77777777" w:rsidR="00F1376B" w:rsidRPr="00B42BF3" w:rsidRDefault="00F1376B" w:rsidP="00F1376B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בכפוף להתקיימות העובדות שפורטו בחלק העובדתי של האישור ובפרט, באמור בסעיף 10 לחלק העובדתי, פירוק החברה יהא פטור ממס שבח מכוח הוראות סעיף 71(א) לחוק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95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 בהתאמה, יהא הפירוק פטור ממס מכירה מכוח תקנה 2(1) לתקנות מיסוי מקרקעין (שבח, מכירה ורכישה) (פטור ממס מכירה), התש"ס-2000 וממס רכישה מכוח תקנה 27(ב) לתקנות מיסוי מקרקעין (שבח, מכירה ורכישה) (מס רכישה), התשל"ה-1974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96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55826BBF" w14:textId="77777777" w:rsidR="00F1376B" w:rsidRPr="00B42BF3" w:rsidRDefault="00F1376B" w:rsidP="00F1376B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חלוקת המקרקעין בין בעלי המניות לאחר הפירוק - בעלי המקרקעין </w:t>
      </w:r>
      <w:proofErr w:type="spellStart"/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במושע</w:t>
      </w:r>
      <w:proofErr w:type="spellEnd"/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 xml:space="preserve"> - תהא פטורה ממס שבח מכוח הוראות סעיף 67 לחוק, וממס מכירה ומס רכישה בהתאם לתקנות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97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 פטורים כאמור הינם בכפוף לבדיקת השווים שתעשה בשלב השומה. מובהר כי אין בהחלטת מיסוי כדי לאשר כי החלוקה שתתבצע הינה בהתאם לשווי היחסי של חלקיהם במקרקעין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98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076C7201" w14:textId="77777777" w:rsidR="00F1376B" w:rsidRPr="00B42BF3" w:rsidRDefault="00F1376B" w:rsidP="00F1376B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  <w:lang w:eastAsia="en-IL"/>
        </w:rPr>
      </w:pP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במסגרת החלטת המיסוי נקבעו מגבלות ותנאים נוספים</w:t>
      </w:r>
      <w:r w:rsidRPr="00B42BF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rtl/>
          <w:lang w:eastAsia="en-IL"/>
        </w:rPr>
        <w:t>99</w:t>
      </w:r>
      <w:r w:rsidRPr="00B42B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  <w:lang w:eastAsia="en-IL"/>
        </w:rPr>
        <w:t>.</w:t>
      </w:r>
    </w:p>
    <w:p w14:paraId="5848F853" w14:textId="77777777" w:rsidR="00225E01" w:rsidRDefault="00225E01"/>
    <w:sectPr w:rsidR="00225E0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D20B2"/>
    <w:multiLevelType w:val="multilevel"/>
    <w:tmpl w:val="2AF2F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2869F8"/>
    <w:multiLevelType w:val="multilevel"/>
    <w:tmpl w:val="5D8E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6B"/>
    <w:rsid w:val="00164828"/>
    <w:rsid w:val="00225E01"/>
    <w:rsid w:val="00BD3178"/>
    <w:rsid w:val="00F1376B"/>
    <w:rsid w:val="00F7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7825"/>
  <w15:chartTrackingRefBased/>
  <w15:docId w15:val="{73B0E051-E900-43CB-A110-A335833F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7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 Sharabi</dc:creator>
  <cp:keywords/>
  <dc:description/>
  <cp:lastModifiedBy>Oz Sharabi</cp:lastModifiedBy>
  <cp:revision>1</cp:revision>
  <dcterms:created xsi:type="dcterms:W3CDTF">2026-01-19T12:44:00Z</dcterms:created>
  <dcterms:modified xsi:type="dcterms:W3CDTF">2026-01-19T12:44:00Z</dcterms:modified>
</cp:coreProperties>
</file>