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10ED7" w14:textId="77777777" w:rsidR="00B220D6" w:rsidRPr="00B220D6" w:rsidRDefault="00B220D6" w:rsidP="00B220D6">
      <w:pPr>
        <w:bidi/>
        <w:rPr>
          <w:u w:val="single"/>
        </w:rPr>
      </w:pPr>
      <w:r w:rsidRPr="00B220D6">
        <w:rPr>
          <w:b/>
          <w:bCs/>
          <w:u w:val="single"/>
          <w:rtl/>
        </w:rPr>
        <w:t>החלטת מיסוי 3/06</w:t>
      </w:r>
    </w:p>
    <w:p w14:paraId="7FA335CD" w14:textId="77777777" w:rsidR="00B220D6" w:rsidRPr="00B220D6" w:rsidRDefault="00B220D6" w:rsidP="00B220D6">
      <w:pPr>
        <w:bidi/>
      </w:pPr>
      <w:r w:rsidRPr="00B220D6">
        <w:rPr>
          <w:b/>
          <w:bCs/>
          <w:u w:val="single"/>
          <w:rtl/>
        </w:rPr>
        <w:t>תחום החלטת המיסוי</w:t>
      </w:r>
      <w:r w:rsidRPr="00B220D6">
        <w:rPr>
          <w:b/>
          <w:bCs/>
        </w:rPr>
        <w:t>:</w:t>
      </w:r>
      <w:r w:rsidRPr="00B220D6">
        <w:br/>
      </w:r>
      <w:r w:rsidRPr="00B220D6">
        <w:rPr>
          <w:rtl/>
        </w:rPr>
        <w:t>חלק ה־2 לפקודת מס הכנסה – שינויי מבנה, מיזוגים ופיצולים</w:t>
      </w:r>
    </w:p>
    <w:p w14:paraId="335408A9" w14:textId="77777777" w:rsidR="00B220D6" w:rsidRPr="00B220D6" w:rsidRDefault="00B220D6" w:rsidP="00B220D6">
      <w:pPr>
        <w:bidi/>
      </w:pPr>
      <w:r w:rsidRPr="00B220D6">
        <w:rPr>
          <w:b/>
          <w:bCs/>
          <w:u w:val="single"/>
          <w:rtl/>
        </w:rPr>
        <w:t>הנושא</w:t>
      </w:r>
      <w:r w:rsidRPr="00B220D6">
        <w:rPr>
          <w:b/>
          <w:bCs/>
        </w:rPr>
        <w:t>:</w:t>
      </w:r>
      <w:r w:rsidRPr="00B220D6">
        <w:br/>
      </w:r>
      <w:r w:rsidRPr="00B220D6">
        <w:rPr>
          <w:rtl/>
        </w:rPr>
        <w:t>מיזוג חברות בהתאם לסעיף 103 לפקודה – החלטת מיסוי בהסכם</w:t>
      </w:r>
    </w:p>
    <w:p w14:paraId="39DD19BB" w14:textId="77777777" w:rsidR="00B220D6" w:rsidRPr="00B220D6" w:rsidRDefault="00B220D6" w:rsidP="00B220D6">
      <w:pPr>
        <w:bidi/>
      </w:pPr>
      <w:r w:rsidRPr="00B220D6">
        <w:pict w14:anchorId="6C06D48F">
          <v:rect id="_x0000_i1025" style="width:0;height:1.5pt" o:hralign="center" o:hrstd="t" o:hr="t" fillcolor="#a0a0a0" stroked="f"/>
        </w:pict>
      </w:r>
    </w:p>
    <w:p w14:paraId="7230E8B5" w14:textId="77777777" w:rsidR="00B220D6" w:rsidRPr="00B220D6" w:rsidRDefault="00B220D6" w:rsidP="00B220D6">
      <w:pPr>
        <w:bidi/>
      </w:pPr>
      <w:r w:rsidRPr="00B220D6">
        <w:rPr>
          <w:b/>
          <w:bCs/>
          <w:u w:val="single"/>
          <w:rtl/>
        </w:rPr>
        <w:t>העובדות</w:t>
      </w:r>
      <w:r w:rsidRPr="00B220D6">
        <w:rPr>
          <w:b/>
          <w:bCs/>
        </w:rPr>
        <w:t>:</w:t>
      </w:r>
    </w:p>
    <w:p w14:paraId="595C566C" w14:textId="77777777" w:rsidR="00B220D6" w:rsidRPr="00B220D6" w:rsidRDefault="00B220D6" w:rsidP="00B220D6">
      <w:pPr>
        <w:numPr>
          <w:ilvl w:val="0"/>
          <w:numId w:val="1"/>
        </w:numPr>
        <w:bidi/>
      </w:pPr>
      <w:r w:rsidRPr="00B220D6">
        <w:rPr>
          <w:rtl/>
        </w:rPr>
        <w:t>החברה המעבירה, החברה הקולטת וחברת האם הינן חברות תושבות ישראל אשר עוסקות בתחומי פעילויות דומים בענף הביטוח. חברת האם הינה בעלת מלוא הזכויות בחברה המעבירה ובחברה הקולטת</w:t>
      </w:r>
      <w:r w:rsidRPr="00B220D6">
        <w:t>.</w:t>
      </w:r>
    </w:p>
    <w:p w14:paraId="466C5203" w14:textId="77777777" w:rsidR="00B220D6" w:rsidRPr="00B220D6" w:rsidRDefault="00B220D6" w:rsidP="00B220D6">
      <w:pPr>
        <w:numPr>
          <w:ilvl w:val="0"/>
          <w:numId w:val="1"/>
        </w:numPr>
        <w:bidi/>
      </w:pPr>
      <w:r w:rsidRPr="00B220D6">
        <w:rPr>
          <w:rtl/>
        </w:rPr>
        <w:t>חברת האם, החברה המעבירה והחברה הקולטת הינן "מוסד כספי" כהגדרתו בחוק מס ערך מוסף, תשל"ו–1975</w:t>
      </w:r>
      <w:r w:rsidRPr="00B220D6">
        <w:t>.</w:t>
      </w:r>
    </w:p>
    <w:p w14:paraId="449322B1" w14:textId="77777777" w:rsidR="00B220D6" w:rsidRPr="00B220D6" w:rsidRDefault="00B220D6" w:rsidP="00B220D6">
      <w:pPr>
        <w:numPr>
          <w:ilvl w:val="0"/>
          <w:numId w:val="1"/>
        </w:numPr>
        <w:bidi/>
      </w:pPr>
      <w:r w:rsidRPr="00B220D6">
        <w:rPr>
          <w:rtl/>
        </w:rPr>
        <w:t>לחברה המעבירה ולחברה הקולטת אין הפסדים לצורכי מס. כמו כן, אין הפסדים הגלומים בנכסים ובפעילות של כל אחת מהחברות</w:t>
      </w:r>
      <w:r w:rsidRPr="00B220D6">
        <w:t>.</w:t>
      </w:r>
    </w:p>
    <w:p w14:paraId="5BA6C5D4" w14:textId="77777777" w:rsidR="00B220D6" w:rsidRPr="00B220D6" w:rsidRDefault="00B220D6" w:rsidP="00B220D6">
      <w:pPr>
        <w:bidi/>
      </w:pPr>
      <w:r w:rsidRPr="00B220D6">
        <w:pict w14:anchorId="5D156FAD">
          <v:rect id="_x0000_i1026" style="width:0;height:1.5pt" o:hralign="center" o:hrstd="t" o:hr="t" fillcolor="#a0a0a0" stroked="f"/>
        </w:pict>
      </w:r>
    </w:p>
    <w:p w14:paraId="28003494" w14:textId="77777777" w:rsidR="00B220D6" w:rsidRPr="00B220D6" w:rsidRDefault="00B220D6" w:rsidP="00B220D6">
      <w:pPr>
        <w:bidi/>
        <w:rPr>
          <w:u w:val="single"/>
        </w:rPr>
      </w:pPr>
      <w:r w:rsidRPr="00B220D6">
        <w:rPr>
          <w:b/>
          <w:bCs/>
          <w:u w:val="single"/>
          <w:rtl/>
        </w:rPr>
        <w:t>פרטי הבקשה</w:t>
      </w:r>
      <w:r w:rsidRPr="00B220D6">
        <w:rPr>
          <w:b/>
          <w:bCs/>
          <w:u w:val="single"/>
        </w:rPr>
        <w:t>:</w:t>
      </w:r>
    </w:p>
    <w:p w14:paraId="2AEDCE16" w14:textId="77777777" w:rsidR="00B220D6" w:rsidRPr="00B220D6" w:rsidRDefault="00B220D6" w:rsidP="00B220D6">
      <w:pPr>
        <w:numPr>
          <w:ilvl w:val="0"/>
          <w:numId w:val="2"/>
        </w:numPr>
        <w:bidi/>
      </w:pPr>
      <w:r w:rsidRPr="00B220D6">
        <w:rPr>
          <w:rtl/>
        </w:rPr>
        <w:t>החברה המעבירה מבקשת למזג את פעילותה עם פעילות החברה הקולטת בדרך של העברת כל הנכסים וההתחייבויות של החברה המעבירה לתוך החברה הקולטת וחיסולה של החברה המעבירה, בהתאם להוראות החלק השמיני בחוק החברות ובכפוף להוראות סעיף 103ג לפקודה</w:t>
      </w:r>
      <w:r w:rsidRPr="00B220D6">
        <w:t>.</w:t>
      </w:r>
    </w:p>
    <w:p w14:paraId="0007DDF0" w14:textId="77777777" w:rsidR="00B220D6" w:rsidRPr="00B220D6" w:rsidRDefault="00B220D6" w:rsidP="00B220D6">
      <w:pPr>
        <w:numPr>
          <w:ilvl w:val="0"/>
          <w:numId w:val="2"/>
        </w:numPr>
        <w:bidi/>
      </w:pPr>
      <w:r w:rsidRPr="00B220D6">
        <w:rPr>
          <w:rtl/>
        </w:rPr>
        <w:t>מועד המיזוג יהא ביום ה־31 בדצמבר (להלן – "מועד המיזוג")</w:t>
      </w:r>
      <w:r w:rsidRPr="00B220D6">
        <w:t>.</w:t>
      </w:r>
    </w:p>
    <w:p w14:paraId="48D9FFA7" w14:textId="77777777" w:rsidR="00B220D6" w:rsidRPr="00B220D6" w:rsidRDefault="00B220D6" w:rsidP="00B220D6">
      <w:pPr>
        <w:numPr>
          <w:ilvl w:val="0"/>
          <w:numId w:val="2"/>
        </w:numPr>
        <w:bidi/>
      </w:pPr>
      <w:r w:rsidRPr="00B220D6">
        <w:rPr>
          <w:rtl/>
        </w:rPr>
        <w:t xml:space="preserve">המיזוג נועד לתכלית עסקית וכלכלית ומטרותיו הינן, בין השאר, התייעלות תפעולית וכלכלית </w:t>
      </w:r>
      <w:proofErr w:type="spellStart"/>
      <w:r w:rsidRPr="00B220D6">
        <w:rPr>
          <w:rtl/>
        </w:rPr>
        <w:t>על־ידי</w:t>
      </w:r>
      <w:proofErr w:type="spellEnd"/>
      <w:r w:rsidRPr="00B220D6">
        <w:rPr>
          <w:rtl/>
        </w:rPr>
        <w:t xml:space="preserve"> ריכוז הפעילות הניהולית למסגרת ארגונית אחת. מיזוג כאמור ייצור יתרון לגודל ביחס למתחרים ויושג חיסכון בהוצאות ההנהלה</w:t>
      </w:r>
      <w:r w:rsidRPr="00B220D6">
        <w:t>.</w:t>
      </w:r>
    </w:p>
    <w:p w14:paraId="6E317DBD" w14:textId="77777777" w:rsidR="00B220D6" w:rsidRPr="00B220D6" w:rsidRDefault="00B220D6" w:rsidP="00B220D6">
      <w:pPr>
        <w:bidi/>
      </w:pPr>
      <w:r w:rsidRPr="00B220D6">
        <w:pict w14:anchorId="1A6A3843">
          <v:rect id="_x0000_i1027" style="width:0;height:1.5pt" o:hralign="center" o:hrstd="t" o:hr="t" fillcolor="#a0a0a0" stroked="f"/>
        </w:pict>
      </w:r>
    </w:p>
    <w:p w14:paraId="7BB19B7D" w14:textId="77777777" w:rsidR="00B220D6" w:rsidRPr="00B220D6" w:rsidRDefault="00B220D6" w:rsidP="00B220D6">
      <w:pPr>
        <w:bidi/>
        <w:rPr>
          <w:u w:val="single"/>
        </w:rPr>
      </w:pPr>
      <w:r w:rsidRPr="00B220D6">
        <w:rPr>
          <w:b/>
          <w:bCs/>
          <w:u w:val="single"/>
          <w:rtl/>
        </w:rPr>
        <w:t>החלטת המיסוי ותנאיה</w:t>
      </w:r>
      <w:r w:rsidRPr="00B220D6">
        <w:rPr>
          <w:b/>
          <w:bCs/>
          <w:u w:val="single"/>
        </w:rPr>
        <w:t>:</w:t>
      </w:r>
    </w:p>
    <w:p w14:paraId="67A716E6" w14:textId="77777777" w:rsidR="00B220D6" w:rsidRPr="00B220D6" w:rsidRDefault="00B220D6" w:rsidP="00B220D6">
      <w:pPr>
        <w:numPr>
          <w:ilvl w:val="0"/>
          <w:numId w:val="3"/>
        </w:numPr>
        <w:bidi/>
      </w:pPr>
      <w:r w:rsidRPr="00B220D6">
        <w:rPr>
          <w:rtl/>
        </w:rPr>
        <w:t>ניתן אישור למיזוג לפי סעיף 103ט(ד) לפקודה, ובכפוף לתנאים הקבועים בסעיף 103ג לפקודה ובהחלטת המיסוי</w:t>
      </w:r>
      <w:r w:rsidRPr="00B220D6">
        <w:t>.</w:t>
      </w:r>
    </w:p>
    <w:p w14:paraId="10266593" w14:textId="77777777" w:rsidR="00B220D6" w:rsidRPr="00B220D6" w:rsidRDefault="00B220D6" w:rsidP="00B220D6">
      <w:pPr>
        <w:numPr>
          <w:ilvl w:val="0"/>
          <w:numId w:val="3"/>
        </w:numPr>
        <w:bidi/>
      </w:pPr>
      <w:r w:rsidRPr="00B220D6">
        <w:rPr>
          <w:rtl/>
        </w:rPr>
        <w:t>נקבע כי החברה הקולטת תקצה לחברת האם מניות בהתאם להוראות סעיף 103ג(4) לפקודה (להלן: "המניות המוקצות"), וזאת בנוסף למניות החברה הקולטת שהיו בידי חברת האם ערב המיזוג (להלן: "מניות הבסיס")</w:t>
      </w:r>
      <w:r w:rsidRPr="00B220D6">
        <w:t>.</w:t>
      </w:r>
    </w:p>
    <w:p w14:paraId="2C138116" w14:textId="77777777" w:rsidR="00B220D6" w:rsidRPr="00B220D6" w:rsidRDefault="00B220D6" w:rsidP="00B220D6">
      <w:pPr>
        <w:numPr>
          <w:ilvl w:val="0"/>
          <w:numId w:val="3"/>
        </w:numPr>
        <w:bidi/>
      </w:pPr>
      <w:r w:rsidRPr="00B220D6">
        <w:rPr>
          <w:rtl/>
        </w:rPr>
        <w:t xml:space="preserve">כל מכירה של מניות החברה הקולטת </w:t>
      </w:r>
      <w:proofErr w:type="spellStart"/>
      <w:r w:rsidRPr="00B220D6">
        <w:rPr>
          <w:rtl/>
        </w:rPr>
        <w:t>על־ידי</w:t>
      </w:r>
      <w:proofErr w:type="spellEnd"/>
      <w:r w:rsidRPr="00B220D6">
        <w:rPr>
          <w:rtl/>
        </w:rPr>
        <w:t xml:space="preserve"> חברת האם לאחר מועד המיזוג, בכפוף לתנאים לעיל, תיעשה באופן יחסי ממניות הבסיס ומהמניות המוקצות (</w:t>
      </w:r>
      <w:proofErr w:type="spellStart"/>
      <w:r w:rsidRPr="00B220D6">
        <w:rPr>
          <w:rtl/>
        </w:rPr>
        <w:t>פרו־רטה</w:t>
      </w:r>
      <w:proofErr w:type="spellEnd"/>
      <w:r w:rsidRPr="00B220D6">
        <w:rPr>
          <w:rtl/>
        </w:rPr>
        <w:t>)</w:t>
      </w:r>
      <w:r w:rsidRPr="00B220D6">
        <w:t>.</w:t>
      </w:r>
    </w:p>
    <w:p w14:paraId="034BE3D1" w14:textId="77777777" w:rsidR="00B220D6" w:rsidRPr="00B220D6" w:rsidRDefault="00B220D6" w:rsidP="00B220D6">
      <w:pPr>
        <w:numPr>
          <w:ilvl w:val="0"/>
          <w:numId w:val="3"/>
        </w:numPr>
        <w:bidi/>
      </w:pPr>
      <w:r w:rsidRPr="00B220D6">
        <w:rPr>
          <w:rtl/>
        </w:rPr>
        <w:t>נקבעו הוראות ומגבלות לגבי מכירה, תקופת החזקה, קביעת המחיר המקורי וקביעת יום הרכישה של מניות החברה הקולטת, לאחר מועד המיזוג, בהתאם לאמור בפקודה</w:t>
      </w:r>
      <w:r w:rsidRPr="00B220D6">
        <w:t>.</w:t>
      </w:r>
    </w:p>
    <w:p w14:paraId="116F6C98" w14:textId="77777777" w:rsidR="00B220D6" w:rsidRPr="00B220D6" w:rsidRDefault="00B220D6" w:rsidP="00B220D6">
      <w:pPr>
        <w:numPr>
          <w:ilvl w:val="0"/>
          <w:numId w:val="3"/>
        </w:numPr>
        <w:bidi/>
      </w:pPr>
      <w:r w:rsidRPr="00B220D6">
        <w:rPr>
          <w:rtl/>
        </w:rPr>
        <w:t xml:space="preserve">במסגרת החלטת המיסוי, נקבעו הוראות שונות כגון: מתן ביאור בדוחות הכספיים ובדוחות לצורכי מס של החברות, </w:t>
      </w:r>
      <w:proofErr w:type="spellStart"/>
      <w:r w:rsidRPr="00B220D6">
        <w:rPr>
          <w:rtl/>
        </w:rPr>
        <w:t>אי־התרת</w:t>
      </w:r>
      <w:proofErr w:type="spellEnd"/>
      <w:r w:rsidRPr="00B220D6">
        <w:rPr>
          <w:rtl/>
        </w:rPr>
        <w:t xml:space="preserve"> הוצאות שינוי המבנה, אישור מצגי החברות ומגבלות נוספות</w:t>
      </w:r>
      <w:r w:rsidRPr="00B220D6">
        <w:t>.</w:t>
      </w:r>
    </w:p>
    <w:p w14:paraId="7AA5C860" w14:textId="2682AEDB" w:rsidR="00B220D6" w:rsidRPr="00B220D6" w:rsidRDefault="00B220D6" w:rsidP="00B220D6">
      <w:pPr>
        <w:bidi/>
      </w:pPr>
    </w:p>
    <w:p w14:paraId="450514D1" w14:textId="77777777" w:rsidR="00B220D6" w:rsidRPr="00B220D6" w:rsidRDefault="00B220D6" w:rsidP="00B220D6">
      <w:pPr>
        <w:bidi/>
        <w:rPr>
          <w:u w:val="single"/>
        </w:rPr>
      </w:pPr>
      <w:r w:rsidRPr="00B220D6">
        <w:rPr>
          <w:b/>
          <w:bCs/>
          <w:u w:val="single"/>
          <w:rtl/>
        </w:rPr>
        <w:t>נספח להחלטת המיסוי</w:t>
      </w:r>
    </w:p>
    <w:p w14:paraId="6EFC7F33" w14:textId="77777777" w:rsidR="00B220D6" w:rsidRPr="00B220D6" w:rsidRDefault="00B220D6" w:rsidP="00B220D6">
      <w:pPr>
        <w:bidi/>
        <w:rPr>
          <w:u w:val="single"/>
        </w:rPr>
      </w:pPr>
      <w:r w:rsidRPr="00B220D6">
        <w:rPr>
          <w:b/>
          <w:bCs/>
          <w:u w:val="single"/>
          <w:rtl/>
        </w:rPr>
        <w:t xml:space="preserve">מבנה </w:t>
      </w:r>
      <w:proofErr w:type="spellStart"/>
      <w:r w:rsidRPr="00B220D6">
        <w:rPr>
          <w:b/>
          <w:bCs/>
          <w:u w:val="single"/>
          <w:rtl/>
        </w:rPr>
        <w:t>ההחזקות</w:t>
      </w:r>
      <w:proofErr w:type="spellEnd"/>
      <w:r w:rsidRPr="00B220D6">
        <w:rPr>
          <w:b/>
          <w:bCs/>
          <w:u w:val="single"/>
          <w:rtl/>
        </w:rPr>
        <w:t xml:space="preserve"> טרם שינוי המבנה</w:t>
      </w:r>
      <w:r w:rsidRPr="00B220D6">
        <w:rPr>
          <w:b/>
          <w:bCs/>
          <w:u w:val="single"/>
        </w:rPr>
        <w:t>:</w:t>
      </w:r>
    </w:p>
    <w:p w14:paraId="67A8A93B" w14:textId="77777777" w:rsidR="00B220D6" w:rsidRPr="00B220D6" w:rsidRDefault="00B220D6" w:rsidP="00B220D6">
      <w:pPr>
        <w:bidi/>
      </w:pPr>
      <w:r w:rsidRPr="00B220D6">
        <w:rPr>
          <w:rtl/>
        </w:rPr>
        <w:t>חברה ציבורית</w:t>
      </w:r>
      <w:r w:rsidRPr="00B220D6">
        <w:br/>
        <w:t>10%</w:t>
      </w:r>
      <w:r w:rsidRPr="00B220D6">
        <w:br/>
      </w:r>
      <w:r w:rsidRPr="00B220D6">
        <w:rPr>
          <w:rtl/>
        </w:rPr>
        <w:t>חברת האם</w:t>
      </w:r>
    </w:p>
    <w:p w14:paraId="4289C918" w14:textId="4FD7D7E8" w:rsidR="00B220D6" w:rsidRPr="00B220D6" w:rsidRDefault="00B220D6" w:rsidP="00B220D6">
      <w:pPr>
        <w:bidi/>
      </w:pPr>
      <w:r w:rsidRPr="00B220D6">
        <w:t>10%</w:t>
      </w:r>
      <w:r w:rsidRPr="00B220D6">
        <w:t> </w:t>
      </w:r>
      <w:r w:rsidRPr="00B220D6">
        <w:t> </w:t>
      </w:r>
      <w:r w:rsidRPr="00B220D6">
        <w:t>10%</w:t>
      </w:r>
      <w:r w:rsidRPr="00B220D6">
        <w:br/>
      </w:r>
      <w:r w:rsidRPr="00B220D6">
        <w:rPr>
          <w:rtl/>
        </w:rPr>
        <w:t>החברה הקולטת</w:t>
      </w:r>
      <w:r w:rsidRPr="00B220D6">
        <w:t> </w:t>
      </w:r>
      <w:r w:rsidRPr="00B220D6">
        <w:t> </w:t>
      </w:r>
      <w:r w:rsidRPr="00B220D6">
        <w:rPr>
          <w:rtl/>
        </w:rPr>
        <w:t>החברה המעבירה</w:t>
      </w:r>
    </w:p>
    <w:p w14:paraId="2E611433" w14:textId="5B896F90" w:rsidR="00B220D6" w:rsidRPr="00B220D6" w:rsidRDefault="00B220D6" w:rsidP="00B220D6">
      <w:pPr>
        <w:bidi/>
      </w:pPr>
    </w:p>
    <w:p w14:paraId="5D50B7BA" w14:textId="77777777" w:rsidR="00B220D6" w:rsidRPr="00B220D6" w:rsidRDefault="00B220D6" w:rsidP="00B220D6">
      <w:pPr>
        <w:bidi/>
        <w:rPr>
          <w:u w:val="single"/>
        </w:rPr>
      </w:pPr>
      <w:r w:rsidRPr="00B220D6">
        <w:rPr>
          <w:b/>
          <w:bCs/>
          <w:u w:val="single"/>
          <w:rtl/>
        </w:rPr>
        <w:t xml:space="preserve">מבנה </w:t>
      </w:r>
      <w:proofErr w:type="spellStart"/>
      <w:r w:rsidRPr="00B220D6">
        <w:rPr>
          <w:b/>
          <w:bCs/>
          <w:u w:val="single"/>
          <w:rtl/>
        </w:rPr>
        <w:t>ההחזקות</w:t>
      </w:r>
      <w:proofErr w:type="spellEnd"/>
      <w:r w:rsidRPr="00B220D6">
        <w:rPr>
          <w:b/>
          <w:bCs/>
          <w:u w:val="single"/>
          <w:rtl/>
        </w:rPr>
        <w:t xml:space="preserve"> לאחר שינוי המבנה</w:t>
      </w:r>
      <w:r w:rsidRPr="00B220D6">
        <w:rPr>
          <w:b/>
          <w:bCs/>
          <w:u w:val="single"/>
        </w:rPr>
        <w:t>:</w:t>
      </w:r>
    </w:p>
    <w:p w14:paraId="7CA5342E" w14:textId="77777777" w:rsidR="00B220D6" w:rsidRPr="00B220D6" w:rsidRDefault="00B220D6" w:rsidP="00B220D6">
      <w:pPr>
        <w:bidi/>
      </w:pPr>
      <w:r w:rsidRPr="00B220D6">
        <w:rPr>
          <w:rtl/>
        </w:rPr>
        <w:t>חברה ציבורית</w:t>
      </w:r>
      <w:r w:rsidRPr="00B220D6">
        <w:br/>
        <w:t>10%</w:t>
      </w:r>
      <w:r w:rsidRPr="00B220D6">
        <w:br/>
      </w:r>
      <w:r w:rsidRPr="00B220D6">
        <w:rPr>
          <w:rtl/>
        </w:rPr>
        <w:t>חברת האם</w:t>
      </w:r>
    </w:p>
    <w:p w14:paraId="68CFD234" w14:textId="77777777" w:rsidR="00B220D6" w:rsidRPr="00B220D6" w:rsidRDefault="00B220D6" w:rsidP="00B220D6">
      <w:pPr>
        <w:bidi/>
      </w:pPr>
      <w:r w:rsidRPr="00B220D6">
        <w:t>10%</w:t>
      </w:r>
      <w:r w:rsidRPr="00B220D6">
        <w:br/>
      </w:r>
      <w:r w:rsidRPr="00B220D6">
        <w:rPr>
          <w:rtl/>
        </w:rPr>
        <w:t>החברה הקולטת</w:t>
      </w:r>
    </w:p>
    <w:p w14:paraId="54DE1B1E" w14:textId="77777777" w:rsidR="003017C1" w:rsidRPr="00B220D6" w:rsidRDefault="003017C1" w:rsidP="00B220D6">
      <w:pPr>
        <w:bidi/>
      </w:pPr>
    </w:p>
    <w:sectPr w:rsidR="003017C1" w:rsidRPr="00B220D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C668F"/>
    <w:multiLevelType w:val="multilevel"/>
    <w:tmpl w:val="B330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44007"/>
    <w:multiLevelType w:val="multilevel"/>
    <w:tmpl w:val="FEBE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8B1455"/>
    <w:multiLevelType w:val="multilevel"/>
    <w:tmpl w:val="477E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0D6"/>
    <w:rsid w:val="00164828"/>
    <w:rsid w:val="003017C1"/>
    <w:rsid w:val="00B220D6"/>
    <w:rsid w:val="00BD3178"/>
    <w:rsid w:val="00F75C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3D938"/>
  <w15:chartTrackingRefBased/>
  <w15:docId w15:val="{26DC75C4-DFDB-4551-B991-06C19A882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73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 Sharabi</dc:creator>
  <cp:keywords/>
  <dc:description/>
  <cp:lastModifiedBy>Oz Sharabi</cp:lastModifiedBy>
  <cp:revision>1</cp:revision>
  <dcterms:created xsi:type="dcterms:W3CDTF">2026-01-28T09:29:00Z</dcterms:created>
  <dcterms:modified xsi:type="dcterms:W3CDTF">2026-01-28T09:33:00Z</dcterms:modified>
</cp:coreProperties>
</file>