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elvetica" w:hAnsi="Helvetica"/>
        </w:rPr>
        <w:t>Video Watermarking Benchmark</w:t>
      </w:r>
    </w:p>
    <w:p>
      <w:pPr>
        <w:jc w:val="center"/>
      </w:pPr>
      <w:r>
        <w:rPr>
          <w:i/>
          <w:sz w:val="22"/>
        </w:rPr>
        <w:t>DCT-QIM vs. Adobe TrustMark — quality, robustness, and failure-mode characterisation under codec, geometric, and screen-capture attacks.</w:t>
      </w:r>
    </w:p>
    <w:p>
      <w:pPr>
        <w:pStyle w:val="Heading1"/>
      </w:pPr>
      <w:r>
        <w:rPr>
          <w:rFonts w:ascii="Helvetica" w:hAnsi="Helvetica"/>
        </w:rPr>
        <w:t>1. Problem framing</w:t>
      </w:r>
    </w:p>
    <w:p>
      <w:r>
        <w:rPr>
          <w:rFonts w:ascii="Helvetica" w:hAnsi="Helvetica"/>
          <w:b w:val="0"/>
          <w:i w:val="0"/>
          <w:sz w:val="22"/>
        </w:rPr>
        <w:t>We compare two video-watermarking approaches on a common task: embed a 56-bit identifier per frame, run a realistic codec round-trip and a downstream attack suite, then measure how often the payload can be recovered. The two methods are a custom DCT-QIM (classical frequency-domain) scheme and Adobe TrustMark (learned encoder/decoder pair). The benchmark answers:</w:t>
      </w:r>
    </w:p>
    <w:p>
      <w:pPr>
        <w:pStyle w:val="ListBullet"/>
      </w:pPr>
      <w:r>
        <w:rPr>
          <w:rFonts w:ascii="Helvetica" w:hAnsi="Helvetica"/>
          <w:sz w:val="22"/>
        </w:rPr>
        <w:t>How invisible is each watermark on real content? (PSNR, SSIM)</w:t>
      </w:r>
    </w:p>
    <w:p>
      <w:pPr>
        <w:pStyle w:val="ListBullet"/>
      </w:pPr>
      <w:r>
        <w:rPr>
          <w:rFonts w:ascii="Helvetica" w:hAnsi="Helvetica"/>
          <w:sz w:val="22"/>
        </w:rPr>
        <w:t>How robust is each after H.264 / H.265 plus attacks? (per-frame BER, exact-match rate)</w:t>
      </w:r>
    </w:p>
    <w:p>
      <w:pPr>
        <w:pStyle w:val="ListBullet"/>
      </w:pPr>
      <w:r>
        <w:rPr>
          <w:rFonts w:ascii="Helvetica" w:hAnsi="Helvetica"/>
          <w:sz w:val="22"/>
        </w:rPr>
        <w:t>Which frames are easier to recover from, and why?</w:t>
      </w:r>
    </w:p>
    <w:p>
      <w:pPr>
        <w:pStyle w:val="Heading1"/>
      </w:pPr>
      <w:r>
        <w:rPr>
          <w:rFonts w:ascii="Helvetica" w:hAnsi="Helvetica"/>
        </w:rPr>
        <w:t>2. Assumptions and constraints</w:t>
      </w:r>
    </w:p>
    <w:p>
      <w:pPr>
        <w:pStyle w:val="ListBullet"/>
      </w:pPr>
      <w:r>
        <w:rPr>
          <w:rFonts w:ascii="Helvetica" w:hAnsi="Helvetica"/>
          <w:sz w:val="22"/>
        </w:rPr>
        <w:t>Payload is 56 bits (7 bytes). Matches DCT's BCH(127, t=11) data field and TrustMark's BCH_5 61-bit capacity.</w:t>
      </w:r>
    </w:p>
    <w:p>
      <w:pPr>
        <w:pStyle w:val="ListBullet"/>
      </w:pPr>
      <w:r>
        <w:rPr>
          <w:rFonts w:ascii="Helvetica" w:hAnsi="Helvetica"/>
          <w:sz w:val="22"/>
        </w:rPr>
        <w:t>Per-frame, independent embedding. The decoder is free to majority-vote across frames after the fact.</w:t>
      </w:r>
    </w:p>
    <w:p>
      <w:pPr>
        <w:pStyle w:val="ListBullet"/>
      </w:pPr>
      <w:r>
        <w:rPr>
          <w:rFonts w:ascii="Helvetica" w:hAnsi="Helvetica"/>
          <w:sz w:val="22"/>
        </w:rPr>
        <w:t>Encoder and decoder share a secret key and assume the original frame geometry — pixel-level scale/translate breaks the DCT path.</w:t>
      </w:r>
    </w:p>
    <w:p>
      <w:pPr>
        <w:pStyle w:val="ListBullet"/>
      </w:pPr>
      <w:r>
        <w:rPr>
          <w:rFonts w:ascii="Helvetica" w:hAnsi="Helvetica"/>
          <w:sz w:val="22"/>
        </w:rPr>
        <w:t>Reference codec: H.264 (libx264) at CRF 23; H.265 (libx265) used for cross-codec stress.</w:t>
      </w:r>
    </w:p>
    <w:p>
      <w:pPr>
        <w:pStyle w:val="ListBullet"/>
      </w:pPr>
      <w:r>
        <w:rPr>
          <w:rFonts w:ascii="Helvetica" w:hAnsi="Helvetica"/>
          <w:sz w:val="22"/>
        </w:rPr>
        <w:t>Test clip: 1920×800 cinematic excerpt from Tears of Steel, 1432 frames (≈60 s, 24 fps). Black-intro frames excluded.</w:t>
      </w:r>
    </w:p>
    <w:p>
      <w:pPr>
        <w:pStyle w:val="Heading1"/>
      </w:pPr>
      <w:r>
        <w:rPr>
          <w:rFonts w:ascii="Helvetica" w:hAnsi="Helvetica"/>
        </w:rPr>
        <w:t>3. Methods</w:t>
      </w:r>
    </w:p>
    <w:p>
      <w:pPr>
        <w:pStyle w:val="Heading2"/>
      </w:pPr>
      <w:r>
        <w:rPr>
          <w:rFonts w:ascii="Helvetica" w:hAnsi="Helvetica"/>
        </w:rPr>
        <w:t>3.1 DCT-QIM</w:t>
      </w:r>
    </w:p>
    <w:p>
      <w:r>
        <w:rPr>
          <w:rFonts w:ascii="Helvetica" w:hAnsi="Helvetica"/>
          <w:b w:val="0"/>
          <w:i w:val="0"/>
          <w:sz w:val="22"/>
        </w:rPr>
        <w:t>The frame is converted to BT.601 full-range YCbCr; embedding happens only in the Y (luma) plane, since H.264/265 chroma is aggressively subsampled and quantised. The Y plane is tiled into 8×8 blocks (the same grid the codec uses for transform coding) and a 2-D orthonormal DCT-II is applied per block.</w:t>
      </w:r>
    </w:p>
    <w:p>
      <w:r>
        <w:rPr>
          <w:rFonts w:ascii="Helvetica" w:hAnsi="Helvetica"/>
          <w:b w:val="0"/>
          <w:i w:val="0"/>
          <w:sz w:val="22"/>
        </w:rPr>
        <w:t>The 56-bit payload is expanded by BCH(n=127, k=57, t=11) into a 127-chip codeword. Each chip is embedded in a pseudo-randomly chosen block via Quantisation Index Modulation (QIM) of a mid-band AC coefficient (zigzag indices 5–14, where coefficients are large enough to survive moderate quantisation but small enough that perturbations remain visually imperceptible). The block-selection sequence is keyed by SHA-256 of the user secret. With num_blocks=4 each chip lands in four distinct blocks, providing an inner majority-vote on decode in addition to the outer BCH correction.</w:t>
      </w:r>
    </w:p>
    <w:p>
      <w:r>
        <w:rPr>
          <w:rFonts w:ascii="Helvetica" w:hAnsi="Helvetica"/>
          <w:b w:val="0"/>
          <w:i w:val="0"/>
          <w:sz w:val="22"/>
        </w:rPr>
        <w:t>Decode mirrors encode: re-tile, DCT, read each QIM coefficient, soft-mean across blocks → 127 hard chips → BCH-decode → 56-bit payload. The decoder also returns BCH n_errors_corrected (or −1 for an uncorrectable codeword), useful as a per-frame confidence signal. QIM step δ = 30 is calibrated empirically to survive H.264 down to CRF ≈ 28 at PSNR ≈ 57 dB on natural content.</w:t>
      </w:r>
    </w:p>
    <w:p>
      <w:pPr>
        <w:pStyle w:val="Heading2"/>
      </w:pPr>
      <w:r>
        <w:rPr>
          <w:rFonts w:ascii="Helvetica" w:hAnsi="Helvetica"/>
        </w:rPr>
        <w:t>3.2 TrustMark</w:t>
      </w:r>
    </w:p>
    <w:p>
      <w:r>
        <w:rPr>
          <w:rFonts w:ascii="Helvetica" w:hAnsi="Helvetica"/>
          <w:b w:val="0"/>
          <w:i w:val="0"/>
          <w:sz w:val="22"/>
        </w:rPr>
        <w:t>TrustMark (Adobe, 2023) is a learned encoder/decoder pair. The encoder operates internally at 256×256 and re-projects a learned residual onto the source frame; the decoder is trained to be robust to scale, crop, noise, and codec compression within the digital channel. We use BCH_5 mode (61-bit capacity, corrects up to 5 bit-flips out of 100) — the most-robust mode that fits a 56-bit payload.</w:t>
      </w:r>
    </w:p>
    <w:p>
      <w:r>
        <w:rPr>
          <w:rFonts w:ascii="Helvetica" w:hAnsi="Helvetica"/>
          <w:b w:val="0"/>
          <w:i w:val="0"/>
          <w:sz w:val="22"/>
        </w:rPr>
        <w:t>The 56-bit payload is serialised as a 56-character binary string and passed to TrustMark.encode() with MODE='binary'. The per-frame adapter wraps the model with the same encode/decode signature as the DCT scheme so the benchmark harness is shared. Decode returns the recovered bits plus a watermark-present flag (BCH decode succeeded ≠ payload matched expected — see §8).</w:t>
      </w:r>
    </w:p>
    <w:p>
      <w:pPr>
        <w:pStyle w:val="Heading1"/>
      </w:pPr>
      <w:r>
        <w:rPr>
          <w:rFonts w:ascii="Helvetica" w:hAnsi="Helvetica"/>
        </w:rPr>
        <w:t>4. Attack model</w:t>
      </w:r>
    </w:p>
    <w:p>
      <w:r>
        <w:rPr>
          <w:rFonts w:ascii="Helvetica" w:hAnsi="Helvetica"/>
          <w:b w:val="0"/>
          <w:i w:val="0"/>
          <w:sz w:val="22"/>
        </w:rPr>
        <w:t>Attacks are applied after the main encode + codec round-trip. Six families × twelve presets cover the distortions seen in real distribution pipelines (re-streaming, mobile playback, format conversion). The attack model is non-adversarial — no watermark-aware adversary, no collusion or oracle attacks.</w:t>
      </w:r>
    </w:p>
    <w:tbl>
      <w:tblPr>
        <w:tblStyle w:val="LightGrid-Accent1"/>
        <w:tblW w:type="auto" w:w="0"/>
        <w:tblLook w:firstColumn="1" w:firstRow="1" w:lastColumn="0" w:lastRow="0" w:noHBand="0" w:noVBand="1" w:val="04A0"/>
      </w:tblPr>
      <w:tblGrid>
        <w:gridCol w:w="3120"/>
        <w:gridCol w:w="3120"/>
        <w:gridCol w:w="3120"/>
      </w:tblGrid>
      <w:tr>
        <w:tc>
          <w:tcPr>
            <w:tcW w:type="dxa" w:w="2016"/>
          </w:tcPr>
          <w:p>
            <w:r>
              <w:rPr>
                <w:rFonts w:ascii="Helvetica" w:hAnsi="Helvetica"/>
                <w:b/>
                <w:sz w:val="20"/>
              </w:rPr>
              <w:t>Family</w:t>
            </w:r>
          </w:p>
        </w:tc>
        <w:tc>
          <w:tcPr>
            <w:tcW w:type="dxa" w:w="3456"/>
          </w:tcPr>
          <w:p>
            <w:r>
              <w:rPr>
                <w:rFonts w:ascii="Helvetica" w:hAnsi="Helvetica"/>
                <w:b/>
                <w:sz w:val="20"/>
              </w:rPr>
              <w:t>Presets</w:t>
            </w:r>
          </w:p>
        </w:tc>
        <w:tc>
          <w:tcPr>
            <w:tcW w:type="dxa" w:w="4320"/>
          </w:tcPr>
          <w:p>
            <w:r>
              <w:rPr>
                <w:rFonts w:ascii="Helvetica" w:hAnsi="Helvetica"/>
                <w:b/>
                <w:sz w:val="20"/>
              </w:rPr>
              <w:t>Stresses</w:t>
            </w:r>
          </w:p>
        </w:tc>
      </w:tr>
      <w:tr>
        <w:tc>
          <w:tcPr>
            <w:tcW w:type="dxa" w:w="2016"/>
            <w:vAlign w:val="center"/>
          </w:tcPr>
          <w:p>
            <w:r>
              <w:rPr>
                <w:rFonts w:ascii="Helvetica" w:hAnsi="Helvetica"/>
                <w:sz w:val="20"/>
              </w:rPr>
              <w:t>Re-encode</w:t>
            </w:r>
          </w:p>
        </w:tc>
        <w:tc>
          <w:tcPr>
            <w:tcW w:type="dxa" w:w="3456"/>
            <w:vAlign w:val="center"/>
          </w:tcPr>
          <w:p>
            <w:r>
              <w:rPr>
                <w:rFonts w:ascii="Helvetica" w:hAnsi="Helvetica"/>
                <w:sz w:val="20"/>
              </w:rPr>
              <w:t>recompress_crf28 / 32 / 36</w:t>
            </w:r>
          </w:p>
        </w:tc>
        <w:tc>
          <w:tcPr>
            <w:tcW w:type="dxa" w:w="4320"/>
            <w:vAlign w:val="center"/>
          </w:tcPr>
          <w:p>
            <w:r>
              <w:rPr>
                <w:rFonts w:ascii="Helvetica" w:hAnsi="Helvetica"/>
                <w:sz w:val="20"/>
              </w:rPr>
              <w:t>Codec quantisation severity</w:t>
            </w:r>
          </w:p>
        </w:tc>
      </w:tr>
      <w:tr>
        <w:tc>
          <w:tcPr>
            <w:tcW w:type="dxa" w:w="2016"/>
            <w:vAlign w:val="center"/>
          </w:tcPr>
          <w:p>
            <w:r>
              <w:rPr>
                <w:rFonts w:ascii="Helvetica" w:hAnsi="Helvetica"/>
                <w:sz w:val="20"/>
              </w:rPr>
              <w:t>Transcode</w:t>
            </w:r>
          </w:p>
        </w:tc>
        <w:tc>
          <w:tcPr>
            <w:tcW w:type="dxa" w:w="3456"/>
            <w:vAlign w:val="center"/>
          </w:tcPr>
          <w:p>
            <w:r>
              <w:rPr>
                <w:rFonts w:ascii="Helvetica" w:hAnsi="Helvetica"/>
                <w:sz w:val="20"/>
              </w:rPr>
              <w:t>transcode_x265 (CRF 28)</w:t>
            </w:r>
          </w:p>
        </w:tc>
        <w:tc>
          <w:tcPr>
            <w:tcW w:type="dxa" w:w="4320"/>
            <w:vAlign w:val="center"/>
          </w:tcPr>
          <w:p>
            <w:r>
              <w:rPr>
                <w:rFonts w:ascii="Helvetica" w:hAnsi="Helvetica"/>
                <w:sz w:val="20"/>
              </w:rPr>
              <w:t>Different codec / Q-matrix</w:t>
            </w:r>
          </w:p>
        </w:tc>
      </w:tr>
      <w:tr>
        <w:tc>
          <w:tcPr>
            <w:tcW w:type="dxa" w:w="2016"/>
            <w:vAlign w:val="center"/>
          </w:tcPr>
          <w:p>
            <w:r>
              <w:rPr>
                <w:rFonts w:ascii="Helvetica" w:hAnsi="Helvetica"/>
                <w:sz w:val="20"/>
              </w:rPr>
              <w:t>Spatial resize</w:t>
            </w:r>
          </w:p>
        </w:tc>
        <w:tc>
          <w:tcPr>
            <w:tcW w:type="dxa" w:w="3456"/>
            <w:vAlign w:val="center"/>
          </w:tcPr>
          <w:p>
            <w:r>
              <w:rPr>
                <w:rFonts w:ascii="Helvetica" w:hAnsi="Helvetica"/>
                <w:sz w:val="20"/>
              </w:rPr>
              <w:t>resize_0.75 / 0.5</w:t>
            </w:r>
          </w:p>
        </w:tc>
        <w:tc>
          <w:tcPr>
            <w:tcW w:type="dxa" w:w="4320"/>
            <w:vAlign w:val="center"/>
          </w:tcPr>
          <w:p>
            <w:r>
              <w:rPr>
                <w:rFonts w:ascii="Helvetica" w:hAnsi="Helvetica"/>
                <w:sz w:val="20"/>
              </w:rPr>
              <w:t>Down→up rescale</w:t>
            </w:r>
          </w:p>
        </w:tc>
      </w:tr>
      <w:tr>
        <w:tc>
          <w:tcPr>
            <w:tcW w:type="dxa" w:w="2016"/>
            <w:vAlign w:val="center"/>
          </w:tcPr>
          <w:p>
            <w:r>
              <w:rPr>
                <w:rFonts w:ascii="Helvetica" w:hAnsi="Helvetica"/>
                <w:sz w:val="20"/>
              </w:rPr>
              <w:t>Spatial crop</w:t>
            </w:r>
          </w:p>
        </w:tc>
        <w:tc>
          <w:tcPr>
            <w:tcW w:type="dxa" w:w="3456"/>
            <w:vAlign w:val="center"/>
          </w:tcPr>
          <w:p>
            <w:r>
              <w:rPr>
                <w:rFonts w:ascii="Helvetica" w:hAnsi="Helvetica"/>
                <w:sz w:val="20"/>
              </w:rPr>
              <w:t>crop_0.8 / 0.6</w:t>
            </w:r>
          </w:p>
        </w:tc>
        <w:tc>
          <w:tcPr>
            <w:tcW w:type="dxa" w:w="4320"/>
            <w:vAlign w:val="center"/>
          </w:tcPr>
          <w:p>
            <w:r>
              <w:rPr>
                <w:rFonts w:ascii="Helvetica" w:hAnsi="Helvetica"/>
                <w:sz w:val="20"/>
              </w:rPr>
              <w:t>Center-crop → rescale to original</w:t>
            </w:r>
          </w:p>
        </w:tc>
      </w:tr>
      <w:tr>
        <w:tc>
          <w:tcPr>
            <w:tcW w:type="dxa" w:w="2016"/>
            <w:vAlign w:val="center"/>
          </w:tcPr>
          <w:p>
            <w:r>
              <w:rPr>
                <w:rFonts w:ascii="Helvetica" w:hAnsi="Helvetica"/>
                <w:sz w:val="20"/>
              </w:rPr>
              <w:t>Gaussian noise</w:t>
            </w:r>
          </w:p>
        </w:tc>
        <w:tc>
          <w:tcPr>
            <w:tcW w:type="dxa" w:w="3456"/>
            <w:vAlign w:val="center"/>
          </w:tcPr>
          <w:p>
            <w:r>
              <w:rPr>
                <w:rFonts w:ascii="Helvetica" w:hAnsi="Helvetica"/>
                <w:sz w:val="20"/>
              </w:rPr>
              <w:t>noise_sigma2 / 5 / 10</w:t>
            </w:r>
          </w:p>
        </w:tc>
        <w:tc>
          <w:tcPr>
            <w:tcW w:type="dxa" w:w="4320"/>
            <w:vAlign w:val="center"/>
          </w:tcPr>
          <w:p>
            <w:r>
              <w:rPr>
                <w:rFonts w:ascii="Helvetica" w:hAnsi="Helvetica"/>
                <w:sz w:val="20"/>
              </w:rPr>
              <w:t>Sensor noise, generation loss</w:t>
            </w:r>
          </w:p>
        </w:tc>
      </w:tr>
      <w:tr>
        <w:tc>
          <w:tcPr>
            <w:tcW w:type="dxa" w:w="2016"/>
            <w:vAlign w:val="center"/>
          </w:tcPr>
          <w:p>
            <w:r>
              <w:rPr>
                <w:rFonts w:ascii="Helvetica" w:hAnsi="Helvetica"/>
                <w:sz w:val="20"/>
              </w:rPr>
              <w:t>Frame drop</w:t>
            </w:r>
          </w:p>
        </w:tc>
        <w:tc>
          <w:tcPr>
            <w:tcW w:type="dxa" w:w="3456"/>
            <w:vAlign w:val="center"/>
          </w:tcPr>
          <w:p>
            <w:r>
              <w:rPr>
                <w:rFonts w:ascii="Helvetica" w:hAnsi="Helvetica"/>
                <w:sz w:val="20"/>
              </w:rPr>
              <w:t>frame_drop_0.5</w:t>
            </w:r>
          </w:p>
        </w:tc>
        <w:tc>
          <w:tcPr>
            <w:tcW w:type="dxa" w:w="4320"/>
            <w:vAlign w:val="center"/>
          </w:tcPr>
          <w:p>
            <w:r>
              <w:rPr>
                <w:rFonts w:ascii="Helvetica" w:hAnsi="Helvetica"/>
                <w:sz w:val="20"/>
              </w:rPr>
              <w:t>Keep every other frame</w:t>
            </w:r>
          </w:p>
        </w:tc>
      </w:tr>
    </w:tbl>
    <w:p>
      <w:pPr>
        <w:pStyle w:val="Heading1"/>
      </w:pPr>
      <w:r>
        <w:rPr>
          <w:rFonts w:ascii="Helvetica" w:hAnsi="Helvetica"/>
        </w:rPr>
        <w:t>5. Evaluation methodology</w:t>
      </w:r>
    </w:p>
    <w:p>
      <w:r>
        <w:rPr>
          <w:rFonts w:ascii="Helvetica" w:hAnsi="Helvetica"/>
          <w:b w:val="0"/>
          <w:i w:val="0"/>
          <w:sz w:val="22"/>
        </w:rPr>
        <w:t>One CLI invocation drives the whole pipeline (python -m video_watermark.benchmark.run). Per frame:</w:t>
      </w:r>
    </w:p>
    <w:p>
      <w:pPr>
        <w:pStyle w:val="ListBullet"/>
      </w:pPr>
      <w:r>
        <w:rPr>
          <w:rFonts w:ascii="Helvetica" w:hAnsi="Helvetica"/>
          <w:sz w:val="22"/>
        </w:rPr>
        <w:t>Load the original frame as uint8 RGB via PyAV.</w:t>
      </w:r>
    </w:p>
    <w:p>
      <w:pPr>
        <w:pStyle w:val="ListBullet"/>
      </w:pPr>
      <w:r>
        <w:rPr>
          <w:rFonts w:ascii="Helvetica" w:hAnsi="Helvetica"/>
          <w:sz w:val="22"/>
        </w:rPr>
        <w:t>Run the chosen watermarker's encode(frame, payload_bits); watermarked frames stay in memory.</w:t>
      </w:r>
    </w:p>
    <w:p>
      <w:pPr>
        <w:pStyle w:val="ListBullet"/>
      </w:pPr>
      <w:r>
        <w:rPr>
          <w:rFonts w:ascii="Helvetica" w:hAnsi="Helvetica"/>
          <w:sz w:val="22"/>
        </w:rPr>
        <w:t>Write all watermarked frames as an MP4 at the chosen codec/CRF — this is the main codec round-trip.</w:t>
      </w:r>
    </w:p>
    <w:p>
      <w:pPr>
        <w:pStyle w:val="ListBullet"/>
      </w:pPr>
      <w:r>
        <w:rPr>
          <w:rFonts w:ascii="Helvetica" w:hAnsi="Helvetica"/>
          <w:sz w:val="22"/>
        </w:rPr>
        <w:t>Re-read the watermarked MP4, decode each frame, and compute per-frame quality (PSNR / SSIM / Δpx) and robustness (BER, exact-match, n_errors_corrected) metrics.</w:t>
      </w:r>
    </w:p>
    <w:p>
      <w:pPr>
        <w:pStyle w:val="ListBullet"/>
      </w:pPr>
      <w:r>
        <w:rPr>
          <w:rFonts w:ascii="Helvetica" w:hAnsi="Helvetica"/>
          <w:sz w:val="22"/>
        </w:rPr>
        <w:t>If --attacks is given, for each preset: apply the attack to the watermarked MP4, decode, and emit a per-frame trace (frame_idx, ber, success) alongside aggregate statistics.</w:t>
      </w:r>
    </w:p>
    <w:p>
      <w:r>
        <w:rPr>
          <w:rFonts w:ascii="Helvetica" w:hAnsi="Helvetica"/>
          <w:b w:val="0"/>
          <w:i w:val="0"/>
          <w:sz w:val="22"/>
        </w:rPr>
        <w:t>All numbers — including the full per-frame attack trace — land in benchmark_results.json for downstream analysis. The per-frame trace is what makes the 'which frames are easier?' question answerable rather than averaged-away.</w:t>
      </w:r>
    </w:p>
    <w:p>
      <w:pPr>
        <w:pStyle w:val="Heading1"/>
      </w:pPr>
      <w:r>
        <w:rPr>
          <w:rFonts w:ascii="Helvetica" w:hAnsi="Helvetica"/>
        </w:rPr>
        <w:t>6. Metrics</w:t>
      </w:r>
    </w:p>
    <w:p>
      <w:r>
        <w:rPr>
          <w:rFonts w:ascii="Helvetica" w:hAnsi="Helvetica"/>
          <w:b/>
          <w:i w:val="0"/>
          <w:sz w:val="22"/>
        </w:rPr>
        <w:t>Quality (watermarked vs. original frame):</w:t>
      </w:r>
    </w:p>
    <w:p>
      <w:pPr>
        <w:pStyle w:val="ListBullet"/>
      </w:pPr>
      <w:r>
        <w:rPr>
          <w:rFonts w:ascii="Helvetica" w:hAnsi="Helvetica"/>
          <w:sz w:val="22"/>
        </w:rPr>
        <w:t>PSNR (dB) — target ≥ 42 dB for invisibility.</w:t>
      </w:r>
    </w:p>
    <w:p>
      <w:pPr>
        <w:pStyle w:val="ListBullet"/>
      </w:pPr>
      <w:r>
        <w:rPr>
          <w:rFonts w:ascii="Helvetica" w:hAnsi="Helvetica"/>
          <w:sz w:val="22"/>
        </w:rPr>
        <w:t>SSIM — channel-averaged; target ≥ 0.98.</w:t>
      </w:r>
    </w:p>
    <w:p>
      <w:pPr>
        <w:pStyle w:val="ListBullet"/>
      </w:pPr>
      <w:r>
        <w:rPr>
          <w:rFonts w:ascii="Helvetica" w:hAnsi="Helvetica"/>
          <w:sz w:val="22"/>
        </w:rPr>
        <w:t>Mean |Δpx| — average per-pixel absolute difference (0–255 scale).</w:t>
      </w:r>
    </w:p>
    <w:p>
      <w:r>
        <w:rPr>
          <w:rFonts w:ascii="Helvetica" w:hAnsi="Helvetica"/>
          <w:b/>
          <w:i w:val="0"/>
          <w:sz w:val="22"/>
        </w:rPr>
        <w:t>Robustness (decoded vs. expected payload):</w:t>
      </w:r>
    </w:p>
    <w:p>
      <w:pPr>
        <w:pStyle w:val="ListBullet"/>
      </w:pPr>
      <w:r>
        <w:rPr>
          <w:rFonts w:ascii="Helvetica" w:hAnsi="Helvetica"/>
          <w:sz w:val="22"/>
        </w:rPr>
        <w:t>Per-frame BER — fraction of 56 bits that differ (0 = perfect, 0.5 = destroyed).</w:t>
      </w:r>
    </w:p>
    <w:p>
      <w:pPr>
        <w:pStyle w:val="ListBullet"/>
      </w:pPr>
      <w:r>
        <w:rPr>
          <w:rFonts w:ascii="Helvetica" w:hAnsi="Helvetica"/>
          <w:sz w:val="22"/>
        </w:rPr>
        <w:t>Exact-match rate (recovered / total) — headline number in tables.</w:t>
      </w:r>
    </w:p>
    <w:p>
      <w:pPr>
        <w:pStyle w:val="ListBullet"/>
      </w:pPr>
      <w:r>
        <w:rPr>
          <w:rFonts w:ascii="Helvetica" w:hAnsi="Helvetica"/>
          <w:sz w:val="22"/>
        </w:rPr>
        <w:t>Per-bit BER — error rate per individual payload bit across frames.</w:t>
      </w:r>
    </w:p>
    <w:p>
      <w:pPr>
        <w:pStyle w:val="ListBullet"/>
      </w:pPr>
      <w:r>
        <w:rPr>
          <w:rFonts w:ascii="Helvetica" w:hAnsi="Helvetica"/>
          <w:sz w:val="22"/>
        </w:rPr>
        <w:t>Majority-vote BER — soft mean of decoded bits across frames; models a video-level decoder that aggregates frames.</w:t>
      </w:r>
    </w:p>
    <w:p>
      <w:pPr>
        <w:pStyle w:val="ListBullet"/>
      </w:pPr>
      <w:r>
        <w:rPr>
          <w:rFonts w:ascii="Helvetica" w:hAnsi="Helvetica"/>
          <w:sz w:val="22"/>
        </w:rPr>
        <w:t>BCH n_errors_corrected (DCT) — chip errors fixed per frame (or −1 = uncorrectable).</w:t>
      </w:r>
    </w:p>
    <w:p>
      <w:pPr>
        <w:pStyle w:val="Heading1"/>
      </w:pPr>
      <w:r>
        <w:rPr>
          <w:rFonts w:ascii="Helvetica" w:hAnsi="Helvetica"/>
        </w:rPr>
        <w:t>7. Experimental results</w:t>
      </w:r>
    </w:p>
    <w:p>
      <w:r>
        <w:rPr>
          <w:rFonts w:ascii="Helvetica" w:hAnsi="Helvetica"/>
          <w:b w:val="0"/>
          <w:i w:val="0"/>
          <w:sz w:val="22"/>
        </w:rPr>
        <w:t>Full-duration run, 1432 frames (≈60 s, 24 fps), 1920×800 source, payload "ABCDEFG" (0x41424344454647), main pipeline at H.264 CRF 23. Quality is similar between methods; TrustMark trades ~10 dB of PSNR for substantially better robustness:</w:t>
      </w:r>
    </w:p>
    <w:tbl>
      <w:tblPr>
        <w:tblStyle w:val="LightGrid-Accent1"/>
        <w:tblW w:type="auto" w:w="0"/>
        <w:tblLook w:firstColumn="1" w:firstRow="1" w:lastColumn="0" w:lastRow="0" w:noHBand="0" w:noVBand="1" w:val="04A0"/>
      </w:tblPr>
      <w:tblGrid>
        <w:gridCol w:w="3120"/>
        <w:gridCol w:w="3120"/>
        <w:gridCol w:w="3120"/>
      </w:tblGrid>
      <w:tr>
        <w:tc>
          <w:tcPr>
            <w:tcW w:type="dxa" w:w="3168"/>
          </w:tcPr>
          <w:p>
            <w:r>
              <w:rPr>
                <w:rFonts w:ascii="Helvetica" w:hAnsi="Helvetica"/>
                <w:b/>
                <w:sz w:val="20"/>
              </w:rPr>
              <w:t>Metric</w:t>
            </w:r>
          </w:p>
        </w:tc>
        <w:tc>
          <w:tcPr>
            <w:tcW w:type="dxa" w:w="2448"/>
          </w:tcPr>
          <w:p>
            <w:r>
              <w:rPr>
                <w:rFonts w:ascii="Helvetica" w:hAnsi="Helvetica"/>
                <w:b/>
                <w:sz w:val="20"/>
              </w:rPr>
              <w:t>DCT</w:t>
            </w:r>
          </w:p>
        </w:tc>
        <w:tc>
          <w:tcPr>
            <w:tcW w:type="dxa" w:w="2448"/>
          </w:tcPr>
          <w:p>
            <w:r>
              <w:rPr>
                <w:rFonts w:ascii="Helvetica" w:hAnsi="Helvetica"/>
                <w:b/>
                <w:sz w:val="20"/>
              </w:rPr>
              <w:t>TrustMark</w:t>
            </w:r>
          </w:p>
        </w:tc>
      </w:tr>
      <w:tr>
        <w:tc>
          <w:tcPr>
            <w:tcW w:type="dxa" w:w="3168"/>
            <w:vAlign w:val="center"/>
          </w:tcPr>
          <w:p>
            <w:r>
              <w:rPr>
                <w:rFonts w:ascii="Helvetica" w:hAnsi="Helvetica"/>
                <w:sz w:val="20"/>
              </w:rPr>
              <w:t>PSNR mean / min (dB)</w:t>
            </w:r>
          </w:p>
        </w:tc>
        <w:tc>
          <w:tcPr>
            <w:tcW w:type="dxa" w:w="2448"/>
            <w:vAlign w:val="center"/>
          </w:tcPr>
          <w:p>
            <w:r>
              <w:rPr>
                <w:rFonts w:ascii="Helvetica" w:hAnsi="Helvetica"/>
                <w:sz w:val="20"/>
              </w:rPr>
              <w:t>56.86 / 56.00</w:t>
            </w:r>
          </w:p>
        </w:tc>
        <w:tc>
          <w:tcPr>
            <w:tcW w:type="dxa" w:w="2448"/>
            <w:vAlign w:val="center"/>
          </w:tcPr>
          <w:p>
            <w:r>
              <w:rPr>
                <w:rFonts w:ascii="Helvetica" w:hAnsi="Helvetica"/>
                <w:sz w:val="20"/>
              </w:rPr>
              <w:t>47.20 / 42.39</w:t>
            </w:r>
          </w:p>
        </w:tc>
      </w:tr>
      <w:tr>
        <w:tc>
          <w:tcPr>
            <w:tcW w:type="dxa" w:w="3168"/>
            <w:vAlign w:val="center"/>
          </w:tcPr>
          <w:p>
            <w:r>
              <w:rPr>
                <w:rFonts w:ascii="Helvetica" w:hAnsi="Helvetica"/>
                <w:sz w:val="20"/>
              </w:rPr>
              <w:t>SSIM mean</w:t>
            </w:r>
          </w:p>
        </w:tc>
        <w:tc>
          <w:tcPr>
            <w:tcW w:type="dxa" w:w="2448"/>
            <w:vAlign w:val="center"/>
          </w:tcPr>
          <w:p>
            <w:r>
              <w:rPr>
                <w:rFonts w:ascii="Helvetica" w:hAnsi="Helvetica"/>
                <w:sz w:val="20"/>
              </w:rPr>
              <w:t>0.9986</w:t>
            </w:r>
          </w:p>
        </w:tc>
        <w:tc>
          <w:tcPr>
            <w:tcW w:type="dxa" w:w="2448"/>
            <w:vAlign w:val="center"/>
          </w:tcPr>
          <w:p>
            <w:r>
              <w:rPr>
                <w:rFonts w:ascii="Helvetica" w:hAnsi="Helvetica"/>
                <w:sz w:val="20"/>
              </w:rPr>
              <w:t>0.9965</w:t>
            </w:r>
          </w:p>
        </w:tc>
      </w:tr>
      <w:tr>
        <w:tc>
          <w:tcPr>
            <w:tcW w:type="dxa" w:w="3168"/>
            <w:vAlign w:val="center"/>
          </w:tcPr>
          <w:p>
            <w:r>
              <w:rPr>
                <w:rFonts w:ascii="Helvetica" w:hAnsi="Helvetica"/>
                <w:sz w:val="20"/>
              </w:rPr>
              <w:t>Mean |Δpx|</w:t>
            </w:r>
          </w:p>
        </w:tc>
        <w:tc>
          <w:tcPr>
            <w:tcW w:type="dxa" w:w="2448"/>
            <w:vAlign w:val="center"/>
          </w:tcPr>
          <w:p>
            <w:r>
              <w:rPr>
                <w:rFonts w:ascii="Helvetica" w:hAnsi="Helvetica"/>
                <w:sz w:val="20"/>
              </w:rPr>
              <w:t>0.033</w:t>
            </w:r>
          </w:p>
        </w:tc>
        <w:tc>
          <w:tcPr>
            <w:tcW w:type="dxa" w:w="2448"/>
            <w:vAlign w:val="center"/>
          </w:tcPr>
          <w:p>
            <w:r>
              <w:rPr>
                <w:rFonts w:ascii="Helvetica" w:hAnsi="Helvetica"/>
                <w:sz w:val="20"/>
              </w:rPr>
              <w:t>0.488</w:t>
            </w:r>
          </w:p>
        </w:tc>
      </w:tr>
      <w:tr>
        <w:tc>
          <w:tcPr>
            <w:tcW w:type="dxa" w:w="3168"/>
            <w:vAlign w:val="center"/>
          </w:tcPr>
          <w:p>
            <w:r>
              <w:rPr>
                <w:rFonts w:ascii="Helvetica" w:hAnsi="Helvetica"/>
                <w:sz w:val="20"/>
              </w:rPr>
              <w:t>Baseline exact-match</w:t>
            </w:r>
          </w:p>
        </w:tc>
        <w:tc>
          <w:tcPr>
            <w:tcW w:type="dxa" w:w="2448"/>
            <w:vAlign w:val="center"/>
          </w:tcPr>
          <w:p>
            <w:r>
              <w:rPr>
                <w:rFonts w:ascii="Helvetica" w:hAnsi="Helvetica"/>
                <w:sz w:val="20"/>
              </w:rPr>
              <w:t>96.7 %</w:t>
            </w:r>
          </w:p>
        </w:tc>
        <w:tc>
          <w:tcPr>
            <w:tcW w:type="dxa" w:w="2448"/>
            <w:vAlign w:val="center"/>
          </w:tcPr>
          <w:p>
            <w:r>
              <w:rPr>
                <w:rFonts w:ascii="Helvetica" w:hAnsi="Helvetica"/>
                <w:sz w:val="20"/>
              </w:rPr>
              <w:t>90.85 %</w:t>
            </w:r>
          </w:p>
        </w:tc>
      </w:tr>
      <w:tr>
        <w:tc>
          <w:tcPr>
            <w:tcW w:type="dxa" w:w="3168"/>
            <w:vAlign w:val="center"/>
          </w:tcPr>
          <w:p>
            <w:r>
              <w:rPr>
                <w:rFonts w:ascii="Helvetica" w:hAnsi="Helvetica"/>
                <w:sz w:val="20"/>
              </w:rPr>
              <w:t>Baseline mean BER</w:t>
            </w:r>
          </w:p>
        </w:tc>
        <w:tc>
          <w:tcPr>
            <w:tcW w:type="dxa" w:w="2448"/>
            <w:vAlign w:val="center"/>
          </w:tcPr>
          <w:p>
            <w:r>
              <w:rPr>
                <w:rFonts w:ascii="Helvetica" w:hAnsi="Helvetica"/>
                <w:sz w:val="20"/>
              </w:rPr>
              <w:t>0.0051</w:t>
            </w:r>
          </w:p>
        </w:tc>
        <w:tc>
          <w:tcPr>
            <w:tcW w:type="dxa" w:w="2448"/>
            <w:vAlign w:val="center"/>
          </w:tcPr>
          <w:p>
            <w:r>
              <w:rPr>
                <w:rFonts w:ascii="Helvetica" w:hAnsi="Helvetica"/>
                <w:sz w:val="20"/>
              </w:rPr>
              <w:t>0.0310</w:t>
            </w:r>
          </w:p>
        </w:tc>
      </w:tr>
    </w:tbl>
    <w:p>
      <w:r>
        <w:rPr>
          <w:rFonts w:ascii="Helvetica" w:hAnsi="Helvetica"/>
          <w:b w:val="0"/>
          <w:i w:val="0"/>
          <w:sz w:val="22"/>
        </w:rPr>
        <w:t>Attack-suite results — frames perfectly recovered out of 1432 (or 716 for frame_drop_0.5, which keeps every other frame):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2304"/>
          </w:tcPr>
          <w:p>
            <w:r>
              <w:rPr>
                <w:rFonts w:ascii="Helvetica" w:hAnsi="Helvetica"/>
                <w:b/>
                <w:sz w:val="20"/>
              </w:rPr>
              <w:t>Attack preset</w:t>
            </w:r>
          </w:p>
        </w:tc>
        <w:tc>
          <w:tcPr>
            <w:tcW w:type="dxa" w:w="1584"/>
          </w:tcPr>
          <w:p>
            <w:r>
              <w:rPr>
                <w:rFonts w:ascii="Helvetica" w:hAnsi="Helvetica"/>
                <w:b/>
                <w:sz w:val="20"/>
              </w:rPr>
              <w:t>DCT ok/N</w:t>
            </w:r>
          </w:p>
        </w:tc>
        <w:tc>
          <w:tcPr>
            <w:tcW w:type="dxa" w:w="1296"/>
          </w:tcPr>
          <w:p>
            <w:r>
              <w:rPr>
                <w:rFonts w:ascii="Helvetica" w:hAnsi="Helvetica"/>
                <w:b/>
                <w:sz w:val="20"/>
              </w:rPr>
              <w:t>DCT BER</w:t>
            </w:r>
          </w:p>
        </w:tc>
        <w:tc>
          <w:tcPr>
            <w:tcW w:type="dxa" w:w="1584"/>
          </w:tcPr>
          <w:p>
            <w:r>
              <w:rPr>
                <w:rFonts w:ascii="Helvetica" w:hAnsi="Helvetica"/>
                <w:b/>
                <w:sz w:val="20"/>
              </w:rPr>
              <w:t>TM ok/N</w:t>
            </w:r>
          </w:p>
        </w:tc>
        <w:tc>
          <w:tcPr>
            <w:tcW w:type="dxa" w:w="1296"/>
          </w:tcPr>
          <w:p>
            <w:r>
              <w:rPr>
                <w:rFonts w:ascii="Helvetica" w:hAnsi="Helvetica"/>
                <w:b/>
                <w:sz w:val="20"/>
              </w:rPr>
              <w:t>TM BER</w:t>
            </w:r>
          </w:p>
        </w:tc>
      </w:tr>
      <w:tr>
        <w:tc>
          <w:tcPr>
            <w:tcW w:type="dxa" w:w="2304"/>
            <w:vAlign w:val="center"/>
          </w:tcPr>
          <w:p>
            <w:r>
              <w:rPr>
                <w:rFonts w:ascii="Helvetica" w:hAnsi="Helvetica"/>
                <w:sz w:val="20"/>
              </w:rPr>
              <w:t>recompress_crf28</w:t>
            </w:r>
          </w:p>
        </w:tc>
        <w:tc>
          <w:tcPr>
            <w:tcW w:type="dxa" w:w="1584"/>
            <w:vAlign w:val="center"/>
          </w:tcPr>
          <w:p>
            <w:r>
              <w:rPr>
                <w:rFonts w:ascii="Helvetica" w:hAnsi="Helvetica"/>
                <w:sz w:val="20"/>
              </w:rPr>
              <w:t>604/1432</w:t>
            </w:r>
          </w:p>
        </w:tc>
        <w:tc>
          <w:tcPr>
            <w:tcW w:type="dxa" w:w="1296"/>
            <w:vAlign w:val="center"/>
          </w:tcPr>
          <w:p>
            <w:r>
              <w:rPr>
                <w:rFonts w:ascii="Helvetica" w:hAnsi="Helvetica"/>
                <w:sz w:val="20"/>
              </w:rPr>
              <w:t>0.118</w:t>
            </w:r>
          </w:p>
        </w:tc>
        <w:tc>
          <w:tcPr>
            <w:tcW w:type="dxa" w:w="1584"/>
            <w:vAlign w:val="center"/>
          </w:tcPr>
          <w:p>
            <w:r>
              <w:rPr>
                <w:rFonts w:ascii="Helvetica" w:hAnsi="Helvetica"/>
                <w:sz w:val="20"/>
              </w:rPr>
              <w:t>1267/1432</w:t>
            </w:r>
          </w:p>
        </w:tc>
        <w:tc>
          <w:tcPr>
            <w:tcW w:type="dxa" w:w="1296"/>
            <w:vAlign w:val="center"/>
          </w:tcPr>
          <w:p>
            <w:r>
              <w:rPr>
                <w:rFonts w:ascii="Helvetica" w:hAnsi="Helvetica"/>
                <w:sz w:val="20"/>
              </w:rPr>
              <w:t>0.039</w:t>
            </w:r>
          </w:p>
        </w:tc>
      </w:tr>
      <w:tr>
        <w:tc>
          <w:tcPr>
            <w:tcW w:type="dxa" w:w="2304"/>
            <w:vAlign w:val="center"/>
          </w:tcPr>
          <w:p>
            <w:r>
              <w:rPr>
                <w:rFonts w:ascii="Helvetica" w:hAnsi="Helvetica"/>
                <w:sz w:val="20"/>
              </w:rPr>
              <w:t>recompress_crf32</w:t>
            </w:r>
          </w:p>
        </w:tc>
        <w:tc>
          <w:tcPr>
            <w:tcW w:type="dxa" w:w="1584"/>
            <w:vAlign w:val="center"/>
          </w:tcPr>
          <w:p>
            <w:r>
              <w:rPr>
                <w:rFonts w:ascii="Helvetica" w:hAnsi="Helvetica"/>
                <w:sz w:val="20"/>
              </w:rPr>
              <w:t>147/1432</w:t>
            </w:r>
          </w:p>
        </w:tc>
        <w:tc>
          <w:tcPr>
            <w:tcW w:type="dxa" w:w="1296"/>
            <w:vAlign w:val="center"/>
          </w:tcPr>
          <w:p>
            <w:r>
              <w:rPr>
                <w:rFonts w:ascii="Helvetica" w:hAnsi="Helvetica"/>
                <w:sz w:val="20"/>
              </w:rPr>
              <w:t>0.211</w:t>
            </w:r>
          </w:p>
        </w:tc>
        <w:tc>
          <w:tcPr>
            <w:tcW w:type="dxa" w:w="1584"/>
            <w:vAlign w:val="center"/>
          </w:tcPr>
          <w:p>
            <w:r>
              <w:rPr>
                <w:rFonts w:ascii="Helvetica" w:hAnsi="Helvetica"/>
                <w:sz w:val="20"/>
              </w:rPr>
              <w:t>1068/1432</w:t>
            </w:r>
          </w:p>
        </w:tc>
        <w:tc>
          <w:tcPr>
            <w:tcW w:type="dxa" w:w="1296"/>
            <w:vAlign w:val="center"/>
          </w:tcPr>
          <w:p>
            <w:r>
              <w:rPr>
                <w:rFonts w:ascii="Helvetica" w:hAnsi="Helvetica"/>
                <w:sz w:val="20"/>
              </w:rPr>
              <w:t>0.086</w:t>
            </w:r>
          </w:p>
        </w:tc>
      </w:tr>
      <w:tr>
        <w:tc>
          <w:tcPr>
            <w:tcW w:type="dxa" w:w="2304"/>
            <w:vAlign w:val="center"/>
          </w:tcPr>
          <w:p>
            <w:r>
              <w:rPr>
                <w:rFonts w:ascii="Helvetica" w:hAnsi="Helvetica"/>
                <w:sz w:val="20"/>
              </w:rPr>
              <w:t>recompress_crf36</w:t>
            </w:r>
          </w:p>
        </w:tc>
        <w:tc>
          <w:tcPr>
            <w:tcW w:type="dxa" w:w="1584"/>
            <w:vAlign w:val="center"/>
          </w:tcPr>
          <w:p>
            <w:r>
              <w:rPr>
                <w:rFonts w:ascii="Helvetica" w:hAnsi="Helvetica"/>
                <w:sz w:val="20"/>
              </w:rPr>
              <w:t>1/1432</w:t>
            </w:r>
          </w:p>
        </w:tc>
        <w:tc>
          <w:tcPr>
            <w:tcW w:type="dxa" w:w="1296"/>
            <w:vAlign w:val="center"/>
          </w:tcPr>
          <w:p>
            <w:r>
              <w:rPr>
                <w:rFonts w:ascii="Helvetica" w:hAnsi="Helvetica"/>
                <w:sz w:val="20"/>
              </w:rPr>
              <w:t>0.311</w:t>
            </w:r>
          </w:p>
        </w:tc>
        <w:tc>
          <w:tcPr>
            <w:tcW w:type="dxa" w:w="1584"/>
            <w:vAlign w:val="center"/>
          </w:tcPr>
          <w:p>
            <w:r>
              <w:rPr>
                <w:rFonts w:ascii="Helvetica" w:hAnsi="Helvetica"/>
                <w:sz w:val="20"/>
              </w:rPr>
              <w:t>626/1432</w:t>
            </w:r>
          </w:p>
        </w:tc>
        <w:tc>
          <w:tcPr>
            <w:tcW w:type="dxa" w:w="1296"/>
            <w:vAlign w:val="center"/>
          </w:tcPr>
          <w:p>
            <w:r>
              <w:rPr>
                <w:rFonts w:ascii="Helvetica" w:hAnsi="Helvetica"/>
                <w:sz w:val="20"/>
              </w:rPr>
              <w:t>0.190</w:t>
            </w:r>
          </w:p>
        </w:tc>
      </w:tr>
      <w:tr>
        <w:tc>
          <w:tcPr>
            <w:tcW w:type="dxa" w:w="2304"/>
            <w:vAlign w:val="center"/>
          </w:tcPr>
          <w:p>
            <w:r>
              <w:rPr>
                <w:rFonts w:ascii="Helvetica" w:hAnsi="Helvetica"/>
                <w:sz w:val="20"/>
              </w:rPr>
              <w:t>transcode_x265</w:t>
            </w:r>
          </w:p>
        </w:tc>
        <w:tc>
          <w:tcPr>
            <w:tcW w:type="dxa" w:w="1584"/>
            <w:vAlign w:val="center"/>
          </w:tcPr>
          <w:p>
            <w:r>
              <w:rPr>
                <w:rFonts w:ascii="Helvetica" w:hAnsi="Helvetica"/>
                <w:sz w:val="20"/>
              </w:rPr>
              <w:t>238/1432</w:t>
            </w:r>
          </w:p>
        </w:tc>
        <w:tc>
          <w:tcPr>
            <w:tcW w:type="dxa" w:w="1296"/>
            <w:vAlign w:val="center"/>
          </w:tcPr>
          <w:p>
            <w:r>
              <w:rPr>
                <w:rFonts w:ascii="Helvetica" w:hAnsi="Helvetica"/>
                <w:sz w:val="20"/>
              </w:rPr>
              <w:t>0.199</w:t>
            </w:r>
          </w:p>
        </w:tc>
        <w:tc>
          <w:tcPr>
            <w:tcW w:type="dxa" w:w="1584"/>
            <w:vAlign w:val="center"/>
          </w:tcPr>
          <w:p>
            <w:r>
              <w:rPr>
                <w:rFonts w:ascii="Helvetica" w:hAnsi="Helvetica"/>
                <w:sz w:val="20"/>
              </w:rPr>
              <w:t>1193/1432</w:t>
            </w:r>
          </w:p>
        </w:tc>
        <w:tc>
          <w:tcPr>
            <w:tcW w:type="dxa" w:w="1296"/>
            <w:vAlign w:val="center"/>
          </w:tcPr>
          <w:p>
            <w:r>
              <w:rPr>
                <w:rFonts w:ascii="Helvetica" w:hAnsi="Helvetica"/>
                <w:sz w:val="20"/>
              </w:rPr>
              <w:t>0.057</w:t>
            </w:r>
          </w:p>
        </w:tc>
      </w:tr>
      <w:tr>
        <w:tc>
          <w:tcPr>
            <w:tcW w:type="dxa" w:w="2304"/>
            <w:vAlign w:val="center"/>
          </w:tcPr>
          <w:p>
            <w:r>
              <w:rPr>
                <w:rFonts w:ascii="Helvetica" w:hAnsi="Helvetica"/>
                <w:sz w:val="20"/>
              </w:rPr>
              <w:t>resize_0.75</w:t>
            </w:r>
          </w:p>
        </w:tc>
        <w:tc>
          <w:tcPr>
            <w:tcW w:type="dxa" w:w="1584"/>
            <w:vAlign w:val="center"/>
          </w:tcPr>
          <w:p>
            <w:r>
              <w:rPr>
                <w:rFonts w:ascii="Helvetica" w:hAnsi="Helvetica"/>
                <w:sz w:val="20"/>
              </w:rPr>
              <w:t>489/1432</w:t>
            </w:r>
          </w:p>
        </w:tc>
        <w:tc>
          <w:tcPr>
            <w:tcW w:type="dxa" w:w="1296"/>
            <w:vAlign w:val="center"/>
          </w:tcPr>
          <w:p>
            <w:r>
              <w:rPr>
                <w:rFonts w:ascii="Helvetica" w:hAnsi="Helvetica"/>
                <w:sz w:val="20"/>
              </w:rPr>
              <w:t>0.141</w:t>
            </w:r>
          </w:p>
        </w:tc>
        <w:tc>
          <w:tcPr>
            <w:tcW w:type="dxa" w:w="1584"/>
            <w:vAlign w:val="center"/>
          </w:tcPr>
          <w:p>
            <w:r>
              <w:rPr>
                <w:rFonts w:ascii="Helvetica" w:hAnsi="Helvetica"/>
                <w:sz w:val="20"/>
              </w:rPr>
              <w:t>1301/1432</w:t>
            </w:r>
          </w:p>
        </w:tc>
        <w:tc>
          <w:tcPr>
            <w:tcW w:type="dxa" w:w="1296"/>
            <w:vAlign w:val="center"/>
          </w:tcPr>
          <w:p>
            <w:r>
              <w:rPr>
                <w:rFonts w:ascii="Helvetica" w:hAnsi="Helvetica"/>
                <w:sz w:val="20"/>
              </w:rPr>
              <w:t>0.031</w:t>
            </w:r>
          </w:p>
        </w:tc>
      </w:tr>
      <w:tr>
        <w:tc>
          <w:tcPr>
            <w:tcW w:type="dxa" w:w="2304"/>
            <w:vAlign w:val="center"/>
          </w:tcPr>
          <w:p>
            <w:r>
              <w:rPr>
                <w:rFonts w:ascii="Helvetica" w:hAnsi="Helvetica"/>
                <w:sz w:val="20"/>
              </w:rPr>
              <w:t>resize_0.5</w:t>
            </w:r>
          </w:p>
        </w:tc>
        <w:tc>
          <w:tcPr>
            <w:tcW w:type="dxa" w:w="1584"/>
            <w:vAlign w:val="center"/>
          </w:tcPr>
          <w:p>
            <w:r>
              <w:rPr>
                <w:rFonts w:ascii="Helvetica" w:hAnsi="Helvetica"/>
                <w:sz w:val="20"/>
              </w:rPr>
              <w:t>0/1432</w:t>
            </w:r>
          </w:p>
        </w:tc>
        <w:tc>
          <w:tcPr>
            <w:tcW w:type="dxa" w:w="1296"/>
            <w:vAlign w:val="center"/>
          </w:tcPr>
          <w:p>
            <w:r>
              <w:rPr>
                <w:rFonts w:ascii="Helvetica" w:hAnsi="Helvetica"/>
                <w:sz w:val="20"/>
              </w:rPr>
              <w:t>0.340</w:t>
            </w:r>
          </w:p>
        </w:tc>
        <w:tc>
          <w:tcPr>
            <w:tcW w:type="dxa" w:w="1584"/>
            <w:vAlign w:val="center"/>
          </w:tcPr>
          <w:p>
            <w:r>
              <w:rPr>
                <w:rFonts w:ascii="Helvetica" w:hAnsi="Helvetica"/>
                <w:sz w:val="20"/>
              </w:rPr>
              <w:t>1300/1432</w:t>
            </w:r>
          </w:p>
        </w:tc>
        <w:tc>
          <w:tcPr>
            <w:tcW w:type="dxa" w:w="1296"/>
            <w:vAlign w:val="center"/>
          </w:tcPr>
          <w:p>
            <w:r>
              <w:rPr>
                <w:rFonts w:ascii="Helvetica" w:hAnsi="Helvetica"/>
                <w:sz w:val="20"/>
              </w:rPr>
              <w:t>0.031</w:t>
            </w:r>
          </w:p>
        </w:tc>
      </w:tr>
      <w:tr>
        <w:tc>
          <w:tcPr>
            <w:tcW w:type="dxa" w:w="2304"/>
            <w:vAlign w:val="center"/>
          </w:tcPr>
          <w:p>
            <w:r>
              <w:rPr>
                <w:rFonts w:ascii="Helvetica" w:hAnsi="Helvetica"/>
                <w:sz w:val="20"/>
              </w:rPr>
              <w:t>crop_0.8</w:t>
            </w:r>
          </w:p>
        </w:tc>
        <w:tc>
          <w:tcPr>
            <w:tcW w:type="dxa" w:w="1584"/>
            <w:vAlign w:val="center"/>
          </w:tcPr>
          <w:p>
            <w:r>
              <w:rPr>
                <w:rFonts w:ascii="Helvetica" w:hAnsi="Helvetica"/>
                <w:sz w:val="20"/>
              </w:rPr>
              <w:t>0/1432</w:t>
            </w:r>
          </w:p>
        </w:tc>
        <w:tc>
          <w:tcPr>
            <w:tcW w:type="dxa" w:w="1296"/>
            <w:vAlign w:val="center"/>
          </w:tcPr>
          <w:p>
            <w:r>
              <w:rPr>
                <w:rFonts w:ascii="Helvetica" w:hAnsi="Helvetica"/>
                <w:sz w:val="20"/>
              </w:rPr>
              <w:t>0.342</w:t>
            </w:r>
          </w:p>
        </w:tc>
        <w:tc>
          <w:tcPr>
            <w:tcW w:type="dxa" w:w="1584"/>
            <w:vAlign w:val="center"/>
          </w:tcPr>
          <w:p>
            <w:r>
              <w:rPr>
                <w:rFonts w:ascii="Helvetica" w:hAnsi="Helvetica"/>
                <w:sz w:val="20"/>
              </w:rPr>
              <w:t>1262/1432</w:t>
            </w:r>
          </w:p>
        </w:tc>
        <w:tc>
          <w:tcPr>
            <w:tcW w:type="dxa" w:w="1296"/>
            <w:vAlign w:val="center"/>
          </w:tcPr>
          <w:p>
            <w:r>
              <w:rPr>
                <w:rFonts w:ascii="Helvetica" w:hAnsi="Helvetica"/>
                <w:sz w:val="20"/>
              </w:rPr>
              <w:t>0.040</w:t>
            </w:r>
          </w:p>
        </w:tc>
      </w:tr>
      <w:tr>
        <w:tc>
          <w:tcPr>
            <w:tcW w:type="dxa" w:w="2304"/>
            <w:vAlign w:val="center"/>
          </w:tcPr>
          <w:p>
            <w:r>
              <w:rPr>
                <w:rFonts w:ascii="Helvetica" w:hAnsi="Helvetica"/>
                <w:sz w:val="20"/>
              </w:rPr>
              <w:t>crop_0.6</w:t>
            </w:r>
          </w:p>
        </w:tc>
        <w:tc>
          <w:tcPr>
            <w:tcW w:type="dxa" w:w="1584"/>
            <w:vAlign w:val="center"/>
          </w:tcPr>
          <w:p>
            <w:r>
              <w:rPr>
                <w:rFonts w:ascii="Helvetica" w:hAnsi="Helvetica"/>
                <w:sz w:val="20"/>
              </w:rPr>
              <w:t>0/1432</w:t>
            </w:r>
          </w:p>
        </w:tc>
        <w:tc>
          <w:tcPr>
            <w:tcW w:type="dxa" w:w="1296"/>
            <w:vAlign w:val="center"/>
          </w:tcPr>
          <w:p>
            <w:r>
              <w:rPr>
                <w:rFonts w:ascii="Helvetica" w:hAnsi="Helvetica"/>
                <w:sz w:val="20"/>
              </w:rPr>
              <w:t>0.339</w:t>
            </w:r>
          </w:p>
        </w:tc>
        <w:tc>
          <w:tcPr>
            <w:tcW w:type="dxa" w:w="1584"/>
            <w:vAlign w:val="center"/>
          </w:tcPr>
          <w:p>
            <w:r>
              <w:rPr>
                <w:rFonts w:ascii="Helvetica" w:hAnsi="Helvetica"/>
                <w:sz w:val="20"/>
              </w:rPr>
              <w:t>0/1432</w:t>
            </w:r>
          </w:p>
        </w:tc>
        <w:tc>
          <w:tcPr>
            <w:tcW w:type="dxa" w:w="1296"/>
            <w:vAlign w:val="center"/>
          </w:tcPr>
          <w:p>
            <w:r>
              <w:rPr>
                <w:rFonts w:ascii="Helvetica" w:hAnsi="Helvetica"/>
                <w:sz w:val="20"/>
              </w:rPr>
              <w:t>0.341</w:t>
            </w:r>
          </w:p>
        </w:tc>
      </w:tr>
      <w:tr>
        <w:tc>
          <w:tcPr>
            <w:tcW w:type="dxa" w:w="2304"/>
            <w:vAlign w:val="center"/>
          </w:tcPr>
          <w:p>
            <w:r>
              <w:rPr>
                <w:rFonts w:ascii="Helvetica" w:hAnsi="Helvetica"/>
                <w:sz w:val="20"/>
              </w:rPr>
              <w:t>noise_sigma2</w:t>
            </w:r>
          </w:p>
        </w:tc>
        <w:tc>
          <w:tcPr>
            <w:tcW w:type="dxa" w:w="1584"/>
            <w:vAlign w:val="center"/>
          </w:tcPr>
          <w:p>
            <w:r>
              <w:rPr>
                <w:rFonts w:ascii="Helvetica" w:hAnsi="Helvetica"/>
                <w:sz w:val="20"/>
              </w:rPr>
              <w:t>1214/1432</w:t>
            </w:r>
          </w:p>
        </w:tc>
        <w:tc>
          <w:tcPr>
            <w:tcW w:type="dxa" w:w="1296"/>
            <w:vAlign w:val="center"/>
          </w:tcPr>
          <w:p>
            <w:r>
              <w:rPr>
                <w:rFonts w:ascii="Helvetica" w:hAnsi="Helvetica"/>
                <w:sz w:val="20"/>
              </w:rPr>
              <w:t>0.037</w:t>
            </w:r>
          </w:p>
        </w:tc>
        <w:tc>
          <w:tcPr>
            <w:tcW w:type="dxa" w:w="1584"/>
            <w:vAlign w:val="center"/>
          </w:tcPr>
          <w:p>
            <w:r>
              <w:rPr>
                <w:rFonts w:ascii="Helvetica" w:hAnsi="Helvetica"/>
                <w:sz w:val="20"/>
              </w:rPr>
              <w:t>1298/1432</w:t>
            </w:r>
          </w:p>
        </w:tc>
        <w:tc>
          <w:tcPr>
            <w:tcW w:type="dxa" w:w="1296"/>
            <w:vAlign w:val="center"/>
          </w:tcPr>
          <w:p>
            <w:r>
              <w:rPr>
                <w:rFonts w:ascii="Helvetica" w:hAnsi="Helvetica"/>
                <w:sz w:val="20"/>
              </w:rPr>
              <w:t>0.032</w:t>
            </w:r>
          </w:p>
        </w:tc>
      </w:tr>
      <w:tr>
        <w:tc>
          <w:tcPr>
            <w:tcW w:type="dxa" w:w="2304"/>
            <w:vAlign w:val="center"/>
          </w:tcPr>
          <w:p>
            <w:r>
              <w:rPr>
                <w:rFonts w:ascii="Helvetica" w:hAnsi="Helvetica"/>
                <w:sz w:val="20"/>
              </w:rPr>
              <w:t>noise_sigma5</w:t>
            </w:r>
          </w:p>
        </w:tc>
        <w:tc>
          <w:tcPr>
            <w:tcW w:type="dxa" w:w="1584"/>
            <w:vAlign w:val="center"/>
          </w:tcPr>
          <w:p>
            <w:r>
              <w:rPr>
                <w:rFonts w:ascii="Helvetica" w:hAnsi="Helvetica"/>
                <w:sz w:val="20"/>
              </w:rPr>
              <w:t>1151/1432</w:t>
            </w:r>
          </w:p>
        </w:tc>
        <w:tc>
          <w:tcPr>
            <w:tcW w:type="dxa" w:w="1296"/>
            <w:vAlign w:val="center"/>
          </w:tcPr>
          <w:p>
            <w:r>
              <w:rPr>
                <w:rFonts w:ascii="Helvetica" w:hAnsi="Helvetica"/>
                <w:sz w:val="20"/>
              </w:rPr>
              <w:t>0.043</w:t>
            </w:r>
          </w:p>
        </w:tc>
        <w:tc>
          <w:tcPr>
            <w:tcW w:type="dxa" w:w="1584"/>
            <w:vAlign w:val="center"/>
          </w:tcPr>
          <w:p>
            <w:r>
              <w:rPr>
                <w:rFonts w:ascii="Helvetica" w:hAnsi="Helvetica"/>
                <w:sz w:val="20"/>
              </w:rPr>
              <w:t>1299/1432</w:t>
            </w:r>
          </w:p>
        </w:tc>
        <w:tc>
          <w:tcPr>
            <w:tcW w:type="dxa" w:w="1296"/>
            <w:vAlign w:val="center"/>
          </w:tcPr>
          <w:p>
            <w:r>
              <w:rPr>
                <w:rFonts w:ascii="Helvetica" w:hAnsi="Helvetica"/>
                <w:sz w:val="20"/>
              </w:rPr>
              <w:t>0.032</w:t>
            </w:r>
          </w:p>
        </w:tc>
      </w:tr>
      <w:tr>
        <w:tc>
          <w:tcPr>
            <w:tcW w:type="dxa" w:w="2304"/>
            <w:vAlign w:val="center"/>
          </w:tcPr>
          <w:p>
            <w:r>
              <w:rPr>
                <w:rFonts w:ascii="Helvetica" w:hAnsi="Helvetica"/>
                <w:sz w:val="20"/>
              </w:rPr>
              <w:t>noise_sigma10</w:t>
            </w:r>
          </w:p>
        </w:tc>
        <w:tc>
          <w:tcPr>
            <w:tcW w:type="dxa" w:w="1584"/>
            <w:vAlign w:val="center"/>
          </w:tcPr>
          <w:p>
            <w:r>
              <w:rPr>
                <w:rFonts w:ascii="Helvetica" w:hAnsi="Helvetica"/>
                <w:sz w:val="20"/>
              </w:rPr>
              <w:t>1070/1432</w:t>
            </w:r>
          </w:p>
        </w:tc>
        <w:tc>
          <w:tcPr>
            <w:tcW w:type="dxa" w:w="1296"/>
            <w:vAlign w:val="center"/>
          </w:tcPr>
          <w:p>
            <w:r>
              <w:rPr>
                <w:rFonts w:ascii="Helvetica" w:hAnsi="Helvetica"/>
                <w:sz w:val="20"/>
              </w:rPr>
              <w:t>0.050</w:t>
            </w:r>
          </w:p>
        </w:tc>
        <w:tc>
          <w:tcPr>
            <w:tcW w:type="dxa" w:w="1584"/>
            <w:vAlign w:val="center"/>
          </w:tcPr>
          <w:p>
            <w:r>
              <w:rPr>
                <w:rFonts w:ascii="Helvetica" w:hAnsi="Helvetica"/>
                <w:sz w:val="20"/>
              </w:rPr>
              <w:t>1291/1432</w:t>
            </w:r>
          </w:p>
        </w:tc>
        <w:tc>
          <w:tcPr>
            <w:tcW w:type="dxa" w:w="1296"/>
            <w:vAlign w:val="center"/>
          </w:tcPr>
          <w:p>
            <w:r>
              <w:rPr>
                <w:rFonts w:ascii="Helvetica" w:hAnsi="Helvetica"/>
                <w:sz w:val="20"/>
              </w:rPr>
              <w:t>0.034</w:t>
            </w:r>
          </w:p>
        </w:tc>
      </w:tr>
      <w:tr>
        <w:tc>
          <w:tcPr>
            <w:tcW w:type="dxa" w:w="2304"/>
            <w:vAlign w:val="center"/>
          </w:tcPr>
          <w:p>
            <w:r>
              <w:rPr>
                <w:rFonts w:ascii="Helvetica" w:hAnsi="Helvetica"/>
                <w:sz w:val="20"/>
              </w:rPr>
              <w:t>frame_drop_0.5</w:t>
            </w:r>
          </w:p>
        </w:tc>
        <w:tc>
          <w:tcPr>
            <w:tcW w:type="dxa" w:w="1584"/>
            <w:vAlign w:val="center"/>
          </w:tcPr>
          <w:p>
            <w:r>
              <w:rPr>
                <w:rFonts w:ascii="Helvetica" w:hAnsi="Helvetica"/>
                <w:sz w:val="20"/>
              </w:rPr>
              <w:t>615/716</w:t>
            </w:r>
          </w:p>
        </w:tc>
        <w:tc>
          <w:tcPr>
            <w:tcW w:type="dxa" w:w="1296"/>
            <w:vAlign w:val="center"/>
          </w:tcPr>
          <w:p>
            <w:r>
              <w:rPr>
                <w:rFonts w:ascii="Helvetica" w:hAnsi="Helvetica"/>
                <w:sz w:val="20"/>
              </w:rPr>
              <w:t>0.015</w:t>
            </w:r>
          </w:p>
        </w:tc>
        <w:tc>
          <w:tcPr>
            <w:tcW w:type="dxa" w:w="1584"/>
            <w:vAlign w:val="center"/>
          </w:tcPr>
          <w:p>
            <w:r>
              <w:rPr>
                <w:rFonts w:ascii="Helvetica" w:hAnsi="Helvetica"/>
                <w:sz w:val="20"/>
              </w:rPr>
              <w:t>650/716</w:t>
            </w:r>
          </w:p>
        </w:tc>
        <w:tc>
          <w:tcPr>
            <w:tcW w:type="dxa" w:w="1296"/>
            <w:vAlign w:val="center"/>
          </w:tcPr>
          <w:p>
            <w:r>
              <w:rPr>
                <w:rFonts w:ascii="Helvetica" w:hAnsi="Helvetica"/>
                <w:sz w:val="20"/>
              </w:rPr>
              <w:t>0.031</w:t>
            </w:r>
          </w:p>
        </w:tc>
      </w:tr>
    </w:tbl>
    <w:p>
      <w:pPr>
        <w:pStyle w:val="ListBullet"/>
      </w:pPr>
      <w:r>
        <w:rPr>
          <w:rFonts w:ascii="Helvetica" w:hAnsi="Helvetica"/>
          <w:sz w:val="22"/>
        </w:rPr>
        <w:t>TrustMark dominates every codec and geometric attack except crop_0.6 (total failure for both) and Gaussian noise (where DCT is competitive).</w:t>
      </w:r>
    </w:p>
    <w:p>
      <w:pPr>
        <w:pStyle w:val="ListBullet"/>
      </w:pPr>
      <w:r>
        <w:rPr>
          <w:rFonts w:ascii="Helvetica" w:hAnsi="Helvetica"/>
          <w:sz w:val="22"/>
        </w:rPr>
        <w:t>DCT collapses at resize_0.5 / crop_0.8 / crop_0.6 (all 0/1432) — its block grid loses alignment with the embedded positions.</w:t>
      </w:r>
    </w:p>
    <w:p>
      <w:pPr>
        <w:pStyle w:val="ListBullet"/>
      </w:pPr>
      <w:r>
        <w:rPr>
          <w:rFonts w:ascii="Helvetica" w:hAnsi="Helvetica"/>
          <w:sz w:val="22"/>
        </w:rPr>
        <w:t>DCT recompress has a clean monotonic curve: 42 % → 10 % → ~0 % as CRF rises 28 → 32 → 36. The 56 dB PSNR headroom buys robustness up to about CRF 30, after which the codec quantiser starts erasing mid-band coefficients faster than BCH can recover.</w:t>
      </w:r>
    </w:p>
    <w:p>
      <w:pPr>
        <w:pStyle w:val="ListBullet"/>
      </w:pPr>
      <w:r>
        <w:rPr>
          <w:rFonts w:ascii="Helvetica" w:hAnsi="Helvetica"/>
          <w:sz w:val="22"/>
        </w:rPr>
        <w:t>frame_drop_0.5 is the easiest attack for both: surviving frames are essentially the baseline, since frame drop is not a per-frame distortion.</w:t>
      </w:r>
    </w:p>
    <w:p>
      <w:pPr>
        <w:pStyle w:val="ListBullet"/>
      </w:pPr>
      <w:r>
        <w:rPr>
          <w:rFonts w:ascii="Helvetica" w:hAnsi="Helvetica"/>
          <w:sz w:val="22"/>
        </w:rPr>
        <w:t>Per-frame observation enabled by the trace: under recompress_crf28, transcode_x265 and resize_0.75, DCT recovers isolated frames inside otherwise-failing runs — these tend to be I-frames, which the codec quantises more leniently. Aggregate BER alone would have hidden this I-frame vs P-frame robustness gap.</w:t>
      </w:r>
    </w:p>
    <w:p>
      <w:r>
        <w:rPr>
          <w:rFonts w:ascii="Helvetica" w:hAnsi="Helvetica"/>
          <w:b w:val="0"/>
          <w:i/>
          <w:sz w:val="22"/>
        </w:rPr>
        <w:t>Compute footprint: end-to-end wall time was ~30 minutes on Apple Silicon (CPU TrustMark inference dominated; MPS support was added after this run — see §10). DCT encode ran at ~31 ms/frame, TrustMark encode at ~41 ms/frame; per-attack decode took 10–60 s (DCT) or 60–90 s (TrustMark) for the full 1432 frames. The attack-MP4 outputs totalled ~3.3 GB, dominated by the noise-attack files (~440 MB each — Gaussian noise defeats H.264's predictive compression).</w:t>
      </w:r>
    </w:p>
    <w:p>
      <w:pPr>
        <w:pStyle w:val="Heading2"/>
      </w:pPr>
      <w:r>
        <w:rPr>
          <w:rFonts w:ascii="Helvetica" w:hAnsi="Helvetica"/>
        </w:rPr>
        <w:t>7.1 Camera capture test (out-of-channel)</w:t>
      </w:r>
    </w:p>
    <w:p>
      <w:r>
        <w:rPr>
          <w:rFonts w:ascii="Helvetica" w:hAnsi="Helvetica"/>
          <w:b w:val="0"/>
          <w:i w:val="0"/>
          <w:sz w:val="22"/>
        </w:rPr>
        <w:t>As a real-world stress test we played the DCT/TrustMark watermarked output on a laptop screen and re-captured it with an iPhone 15 Pro — two recordings, 1920×1080 at 30 fps (1816 frames) and 60 fps (3586 frames). Both decoders score 0 frames recovered out of every frame in both clips; per-frame BER sits pinned at the BCH-uncorrectable / no-signal floor (0.339). TrustMark's watermark-present flag triggers on ~1–2 % of frames, but the payload is garbage in every one of them (consistent with the BCH-5 false-positive rate of ≈0.2 % plus low-grade noise). The display→camera optical channel layers refresh-rate beating (laptop 60 Hz vs camera 30 / 60 fps), moire from screen-pixel × Bayer interaction, rolling-shutter skew, glare, colour-profile drift and a fresh H.264 encode — collectively the print-scan / physical-channel attack, which neither model was trained for.</w:t>
      </w:r>
    </w:p>
    <w:p>
      <w:r>
        <w:rPr>
          <w:rFonts w:ascii="Helvetica" w:hAnsi="Helvetica"/>
          <w:b/>
          <w:i w:val="0"/>
          <w:sz w:val="22"/>
        </w:rPr>
        <w:t>Possible improvements to close this gap:</w:t>
      </w:r>
    </w:p>
    <w:p>
      <w:pPr>
        <w:pStyle w:val="ListBullet"/>
      </w:pPr>
      <w:r>
        <w:rPr>
          <w:rFonts w:ascii="Helvetica" w:hAnsi="Helvetica"/>
          <w:sz w:val="22"/>
        </w:rPr>
        <w:t>Use a TrustMark variant trained with screen-capture / print-scan augmentations in its degradation set (Adobe ships such variants outside the default BCH_5 model used here).</w:t>
      </w:r>
    </w:p>
    <w:p>
      <w:pPr>
        <w:pStyle w:val="ListBullet"/>
      </w:pPr>
      <w:r>
        <w:rPr>
          <w:rFonts w:ascii="Helvetica" w:hAnsi="Helvetica"/>
          <w:sz w:val="22"/>
        </w:rPr>
        <w:t>Add a synchronisation marker (e.g. a known-pattern border or corner glyph) so the decoder can geometrically rectify and deshake before passing the frame to the watermark decoder.</w:t>
      </w:r>
    </w:p>
    <w:p>
      <w:pPr>
        <w:pStyle w:val="ListBullet"/>
      </w:pPr>
      <w:r>
        <w:rPr>
          <w:rFonts w:ascii="Helvetica" w:hAnsi="Helvetica"/>
          <w:sz w:val="22"/>
        </w:rPr>
        <w:t>Accumulate evidence across frames: even at ~2 % per-frame signal-trigger, a few seconds of capture provides enough soft votes for a structured majority decoder to recover the payload, provided the per-frame errors are independent.</w:t>
      </w:r>
    </w:p>
    <w:p>
      <w:pPr>
        <w:pStyle w:val="ListBullet"/>
      </w:pPr>
      <w:r>
        <w:rPr>
          <w:rFonts w:ascii="Helvetica" w:hAnsi="Helvetica"/>
          <w:sz w:val="22"/>
        </w:rPr>
        <w:t>Drop frame rate to capture-aligned values (24 fps source → 24 / 48 / 60 fps capture, with shutter speed tuned to the screen refresh) to reduce refresh beating and rolling-shutter skew.</w:t>
      </w:r>
    </w:p>
    <w:p>
      <w:pPr>
        <w:pStyle w:val="Heading2"/>
      </w:pPr>
      <w:r>
        <w:rPr>
          <w:rFonts w:ascii="Helvetica" w:hAnsi="Helvetica"/>
        </w:rPr>
        <w:t>7.2 Visual reference (frame 600, ≈25 s)</w:t>
      </w:r>
    </w:p>
    <w:p>
      <w:r>
        <w:rPr>
          <w:rFonts w:ascii="Helvetica" w:hAnsi="Helvetica"/>
          <w:b w:val="0"/>
          <w:i w:val="0"/>
          <w:sz w:val="22"/>
        </w:rPr>
        <w:t>Frame 600 (~25 s into the clip) from each attacked output, both methods side by side. Baseline (top) is the un-watermarked original; for frame_drop_0.5 the equivalent kept frame (output index 300) is shown so the visual content lines up.</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rFonts w:ascii="Helvetica" w:hAnsi="Helvetica"/>
                <w:b/>
                <w:sz w:val="18"/>
              </w:rPr>
              <w:t>Preset</w:t>
            </w:r>
          </w:p>
        </w:tc>
        <w:tc>
          <w:tcPr>
            <w:tcW w:type="dxa" w:w="3120"/>
          </w:tcPr>
          <w:p>
            <w:r>
              <w:rPr>
                <w:rFonts w:ascii="Helvetica" w:hAnsi="Helvetica"/>
                <w:b/>
                <w:sz w:val="18"/>
              </w:rPr>
              <w:t>DCT</w:t>
            </w:r>
          </w:p>
        </w:tc>
        <w:tc>
          <w:tcPr>
            <w:tcW w:type="dxa" w:w="3120"/>
          </w:tcPr>
          <w:p>
            <w:r>
              <w:rPr>
                <w:rFonts w:ascii="Helvetica" w:hAnsi="Helvetica"/>
                <w:b/>
                <w:sz w:val="18"/>
              </w:rPr>
              <w:t>TrustMark</w:t>
            </w:r>
          </w:p>
        </w:tc>
      </w:tr>
      <w:tr>
        <w:tc>
          <w:tcPr>
            <w:tcW w:type="dxa" w:w="3120"/>
          </w:tcPr>
          <w:p>
            <w:r>
              <w:rPr>
                <w:rFonts w:ascii="Helvetica" w:hAnsi="Helvetica"/>
                <w:sz w:val="18"/>
              </w:rPr>
              <w:t>baseline</w:t>
              <w:br/>
              <w:t>(original)</w:t>
            </w:r>
          </w:p>
        </w:tc>
        <w:tc>
          <w:tcPr>
            <w:tcW w:type="dxa" w:w="6240"/>
            <w:gridSpan w:val="2"/>
          </w:tcPr>
          <w:p>
            <w:r>
              <w:drawing>
                <wp:inline xmlns:a="http://schemas.openxmlformats.org/drawingml/2006/main" xmlns:pic="http://schemas.openxmlformats.org/drawingml/2006/picture">
                  <wp:extent cx="4480560" cy="1866900"/>
                  <wp:docPr id="1" name="Picture 1"/>
                  <wp:cNvGraphicFramePr>
                    <a:graphicFrameLocks noChangeAspect="1"/>
                  </wp:cNvGraphicFramePr>
                  <a:graphic>
                    <a:graphicData uri="http://schemas.openxmlformats.org/drawingml/2006/picture">
                      <pic:pic>
                        <pic:nvPicPr>
                          <pic:cNvPr id="0" name="frame600_baseline.jpg"/>
                          <pic:cNvPicPr/>
                        </pic:nvPicPr>
                        <pic:blipFill>
                          <a:blip r:embed="rId9"/>
                          <a:stretch>
                            <a:fillRect/>
                          </a:stretch>
                        </pic:blipFill>
                        <pic:spPr>
                          <a:xfrm>
                            <a:off x="0" y="0"/>
                            <a:ext cx="4480560" cy="1866900"/>
                          </a:xfrm>
                          <a:prstGeom prst="rect"/>
                        </pic:spPr>
                      </pic:pic>
                    </a:graphicData>
                  </a:graphic>
                </wp:inline>
              </w:drawing>
            </w:r>
          </w:p>
        </w:tc>
      </w:tr>
      <w:tr>
        <w:tc>
          <w:tcPr>
            <w:tcW w:type="dxa" w:w="3120"/>
          </w:tcPr>
          <w:p>
            <w:r>
              <w:rPr>
                <w:rFonts w:ascii="Helvetica" w:hAnsi="Helvetica"/>
                <w:sz w:val="20"/>
              </w:rPr>
              <w:t>recompress_crf28</w:t>
            </w:r>
          </w:p>
        </w:tc>
        <w:tc>
          <w:tcPr>
            <w:tcW w:type="dxa" w:w="3120"/>
          </w:tcPr>
          <w:p>
            <w:r>
              <w:drawing>
                <wp:inline xmlns:a="http://schemas.openxmlformats.org/drawingml/2006/main" xmlns:pic="http://schemas.openxmlformats.org/drawingml/2006/picture">
                  <wp:extent cx="2194560" cy="914400"/>
                  <wp:docPr id="2" name="Picture 2"/>
                  <wp:cNvGraphicFramePr>
                    <a:graphicFrameLocks noChangeAspect="1"/>
                  </wp:cNvGraphicFramePr>
                  <a:graphic>
                    <a:graphicData uri="http://schemas.openxmlformats.org/drawingml/2006/picture">
                      <pic:pic>
                        <pic:nvPicPr>
                          <pic:cNvPr id="0" name="frame600_dct_recompress_crf28.jpg"/>
                          <pic:cNvPicPr/>
                        </pic:nvPicPr>
                        <pic:blipFill>
                          <a:blip r:embed="rId10"/>
                          <a:stretch>
                            <a:fillRect/>
                          </a:stretch>
                        </pic:blipFill>
                        <pic:spPr>
                          <a:xfrm>
                            <a:off x="0" y="0"/>
                            <a:ext cx="2194560" cy="914400"/>
                          </a:xfrm>
                          <a:prstGeom prst="rect"/>
                        </pic:spPr>
                      </pic:pic>
                    </a:graphicData>
                  </a:graphic>
                </wp:inline>
              </w:drawing>
            </w:r>
          </w:p>
        </w:tc>
        <w:tc>
          <w:tcPr>
            <w:tcW w:type="dxa" w:w="3120"/>
          </w:tcPr>
          <w:p>
            <w:r>
              <w:drawing>
                <wp:inline xmlns:a="http://schemas.openxmlformats.org/drawingml/2006/main" xmlns:pic="http://schemas.openxmlformats.org/drawingml/2006/picture">
                  <wp:extent cx="2194560" cy="914400"/>
                  <wp:docPr id="3" name="Picture 3"/>
                  <wp:cNvGraphicFramePr>
                    <a:graphicFrameLocks noChangeAspect="1"/>
                  </wp:cNvGraphicFramePr>
                  <a:graphic>
                    <a:graphicData uri="http://schemas.openxmlformats.org/drawingml/2006/picture">
                      <pic:pic>
                        <pic:nvPicPr>
                          <pic:cNvPr id="0" name="frame600_trustmark_recompress_crf28.jpg"/>
                          <pic:cNvPicPr/>
                        </pic:nvPicPr>
                        <pic:blipFill>
                          <a:blip r:embed="rId11"/>
                          <a:stretch>
                            <a:fillRect/>
                          </a:stretch>
                        </pic:blipFill>
                        <pic:spPr>
                          <a:xfrm>
                            <a:off x="0" y="0"/>
                            <a:ext cx="2194560" cy="914400"/>
                          </a:xfrm>
                          <a:prstGeom prst="rect"/>
                        </pic:spPr>
                      </pic:pic>
                    </a:graphicData>
                  </a:graphic>
                </wp:inline>
              </w:drawing>
            </w:r>
          </w:p>
        </w:tc>
      </w:tr>
      <w:tr>
        <w:tc>
          <w:tcPr>
            <w:tcW w:type="dxa" w:w="3120"/>
          </w:tcPr>
          <w:p>
            <w:r>
              <w:rPr>
                <w:rFonts w:ascii="Helvetica" w:hAnsi="Helvetica"/>
                <w:sz w:val="20"/>
              </w:rPr>
              <w:t>recompress_crf32</w:t>
            </w:r>
          </w:p>
        </w:tc>
        <w:tc>
          <w:tcPr>
            <w:tcW w:type="dxa" w:w="3120"/>
          </w:tcPr>
          <w:p>
            <w:r>
              <w:drawing>
                <wp:inline xmlns:a="http://schemas.openxmlformats.org/drawingml/2006/main" xmlns:pic="http://schemas.openxmlformats.org/drawingml/2006/picture">
                  <wp:extent cx="2194560" cy="914400"/>
                  <wp:docPr id="4" name="Picture 4"/>
                  <wp:cNvGraphicFramePr>
                    <a:graphicFrameLocks noChangeAspect="1"/>
                  </wp:cNvGraphicFramePr>
                  <a:graphic>
                    <a:graphicData uri="http://schemas.openxmlformats.org/drawingml/2006/picture">
                      <pic:pic>
                        <pic:nvPicPr>
                          <pic:cNvPr id="0" name="frame600_dct_recompress_crf32.jpg"/>
                          <pic:cNvPicPr/>
                        </pic:nvPicPr>
                        <pic:blipFill>
                          <a:blip r:embed="rId12"/>
                          <a:stretch>
                            <a:fillRect/>
                          </a:stretch>
                        </pic:blipFill>
                        <pic:spPr>
                          <a:xfrm>
                            <a:off x="0" y="0"/>
                            <a:ext cx="2194560" cy="914400"/>
                          </a:xfrm>
                          <a:prstGeom prst="rect"/>
                        </pic:spPr>
                      </pic:pic>
                    </a:graphicData>
                  </a:graphic>
                </wp:inline>
              </w:drawing>
            </w:r>
          </w:p>
        </w:tc>
        <w:tc>
          <w:tcPr>
            <w:tcW w:type="dxa" w:w="3120"/>
          </w:tcPr>
          <w:p>
            <w:r>
              <w:drawing>
                <wp:inline xmlns:a="http://schemas.openxmlformats.org/drawingml/2006/main" xmlns:pic="http://schemas.openxmlformats.org/drawingml/2006/picture">
                  <wp:extent cx="2194560" cy="914400"/>
                  <wp:docPr id="5" name="Picture 5"/>
                  <wp:cNvGraphicFramePr>
                    <a:graphicFrameLocks noChangeAspect="1"/>
                  </wp:cNvGraphicFramePr>
                  <a:graphic>
                    <a:graphicData uri="http://schemas.openxmlformats.org/drawingml/2006/picture">
                      <pic:pic>
                        <pic:nvPicPr>
                          <pic:cNvPr id="0" name="frame600_trustmark_recompress_crf32.jpg"/>
                          <pic:cNvPicPr/>
                        </pic:nvPicPr>
                        <pic:blipFill>
                          <a:blip r:embed="rId13"/>
                          <a:stretch>
                            <a:fillRect/>
                          </a:stretch>
                        </pic:blipFill>
                        <pic:spPr>
                          <a:xfrm>
                            <a:off x="0" y="0"/>
                            <a:ext cx="2194560" cy="914400"/>
                          </a:xfrm>
                          <a:prstGeom prst="rect"/>
                        </pic:spPr>
                      </pic:pic>
                    </a:graphicData>
                  </a:graphic>
                </wp:inline>
              </w:drawing>
            </w:r>
          </w:p>
        </w:tc>
      </w:tr>
      <w:tr>
        <w:tc>
          <w:tcPr>
            <w:tcW w:type="dxa" w:w="3120"/>
          </w:tcPr>
          <w:p>
            <w:r>
              <w:rPr>
                <w:rFonts w:ascii="Helvetica" w:hAnsi="Helvetica"/>
                <w:sz w:val="20"/>
              </w:rPr>
              <w:t>recompress_crf36</w:t>
            </w:r>
          </w:p>
        </w:tc>
        <w:tc>
          <w:tcPr>
            <w:tcW w:type="dxa" w:w="3120"/>
          </w:tcPr>
          <w:p>
            <w:r>
              <w:drawing>
                <wp:inline xmlns:a="http://schemas.openxmlformats.org/drawingml/2006/main" xmlns:pic="http://schemas.openxmlformats.org/drawingml/2006/picture">
                  <wp:extent cx="2194560" cy="914400"/>
                  <wp:docPr id="6" name="Picture 6"/>
                  <wp:cNvGraphicFramePr>
                    <a:graphicFrameLocks noChangeAspect="1"/>
                  </wp:cNvGraphicFramePr>
                  <a:graphic>
                    <a:graphicData uri="http://schemas.openxmlformats.org/drawingml/2006/picture">
                      <pic:pic>
                        <pic:nvPicPr>
                          <pic:cNvPr id="0" name="frame600_dct_recompress_crf36.jpg"/>
                          <pic:cNvPicPr/>
                        </pic:nvPicPr>
                        <pic:blipFill>
                          <a:blip r:embed="rId14"/>
                          <a:stretch>
                            <a:fillRect/>
                          </a:stretch>
                        </pic:blipFill>
                        <pic:spPr>
                          <a:xfrm>
                            <a:off x="0" y="0"/>
                            <a:ext cx="2194560" cy="914400"/>
                          </a:xfrm>
                          <a:prstGeom prst="rect"/>
                        </pic:spPr>
                      </pic:pic>
                    </a:graphicData>
                  </a:graphic>
                </wp:inline>
              </w:drawing>
            </w:r>
          </w:p>
        </w:tc>
        <w:tc>
          <w:tcPr>
            <w:tcW w:type="dxa" w:w="3120"/>
          </w:tcPr>
          <w:p>
            <w:r>
              <w:drawing>
                <wp:inline xmlns:a="http://schemas.openxmlformats.org/drawingml/2006/main" xmlns:pic="http://schemas.openxmlformats.org/drawingml/2006/picture">
                  <wp:extent cx="2194560" cy="914400"/>
                  <wp:docPr id="7" name="Picture 7"/>
                  <wp:cNvGraphicFramePr>
                    <a:graphicFrameLocks noChangeAspect="1"/>
                  </wp:cNvGraphicFramePr>
                  <a:graphic>
                    <a:graphicData uri="http://schemas.openxmlformats.org/drawingml/2006/picture">
                      <pic:pic>
                        <pic:nvPicPr>
                          <pic:cNvPr id="0" name="frame600_trustmark_recompress_crf36.jpg"/>
                          <pic:cNvPicPr/>
                        </pic:nvPicPr>
                        <pic:blipFill>
                          <a:blip r:embed="rId15"/>
                          <a:stretch>
                            <a:fillRect/>
                          </a:stretch>
                        </pic:blipFill>
                        <pic:spPr>
                          <a:xfrm>
                            <a:off x="0" y="0"/>
                            <a:ext cx="2194560" cy="914400"/>
                          </a:xfrm>
                          <a:prstGeom prst="rect"/>
                        </pic:spPr>
                      </pic:pic>
                    </a:graphicData>
                  </a:graphic>
                </wp:inline>
              </w:drawing>
            </w:r>
          </w:p>
        </w:tc>
      </w:tr>
      <w:tr>
        <w:tc>
          <w:tcPr>
            <w:tcW w:type="dxa" w:w="3120"/>
          </w:tcPr>
          <w:p>
            <w:r>
              <w:rPr>
                <w:rFonts w:ascii="Helvetica" w:hAnsi="Helvetica"/>
                <w:sz w:val="20"/>
              </w:rPr>
              <w:t>transcode_x265</w:t>
            </w:r>
          </w:p>
        </w:tc>
        <w:tc>
          <w:tcPr>
            <w:tcW w:type="dxa" w:w="3120"/>
          </w:tcPr>
          <w:p>
            <w:r>
              <w:drawing>
                <wp:inline xmlns:a="http://schemas.openxmlformats.org/drawingml/2006/main" xmlns:pic="http://schemas.openxmlformats.org/drawingml/2006/picture">
                  <wp:extent cx="2194560" cy="914400"/>
                  <wp:docPr id="8" name="Picture 8"/>
                  <wp:cNvGraphicFramePr>
                    <a:graphicFrameLocks noChangeAspect="1"/>
                  </wp:cNvGraphicFramePr>
                  <a:graphic>
                    <a:graphicData uri="http://schemas.openxmlformats.org/drawingml/2006/picture">
                      <pic:pic>
                        <pic:nvPicPr>
                          <pic:cNvPr id="0" name="frame600_dct_transcode_x265.jpg"/>
                          <pic:cNvPicPr/>
                        </pic:nvPicPr>
                        <pic:blipFill>
                          <a:blip r:embed="rId16"/>
                          <a:stretch>
                            <a:fillRect/>
                          </a:stretch>
                        </pic:blipFill>
                        <pic:spPr>
                          <a:xfrm>
                            <a:off x="0" y="0"/>
                            <a:ext cx="2194560" cy="914400"/>
                          </a:xfrm>
                          <a:prstGeom prst="rect"/>
                        </pic:spPr>
                      </pic:pic>
                    </a:graphicData>
                  </a:graphic>
                </wp:inline>
              </w:drawing>
            </w:r>
          </w:p>
        </w:tc>
        <w:tc>
          <w:tcPr>
            <w:tcW w:type="dxa" w:w="3120"/>
          </w:tcPr>
          <w:p>
            <w:r>
              <w:drawing>
                <wp:inline xmlns:a="http://schemas.openxmlformats.org/drawingml/2006/main" xmlns:pic="http://schemas.openxmlformats.org/drawingml/2006/picture">
                  <wp:extent cx="2194560" cy="914400"/>
                  <wp:docPr id="9" name="Picture 9"/>
                  <wp:cNvGraphicFramePr>
                    <a:graphicFrameLocks noChangeAspect="1"/>
                  </wp:cNvGraphicFramePr>
                  <a:graphic>
                    <a:graphicData uri="http://schemas.openxmlformats.org/drawingml/2006/picture">
                      <pic:pic>
                        <pic:nvPicPr>
                          <pic:cNvPr id="0" name="frame600_trustmark_transcode_x265.jpg"/>
                          <pic:cNvPicPr/>
                        </pic:nvPicPr>
                        <pic:blipFill>
                          <a:blip r:embed="rId17"/>
                          <a:stretch>
                            <a:fillRect/>
                          </a:stretch>
                        </pic:blipFill>
                        <pic:spPr>
                          <a:xfrm>
                            <a:off x="0" y="0"/>
                            <a:ext cx="2194560" cy="914400"/>
                          </a:xfrm>
                          <a:prstGeom prst="rect"/>
                        </pic:spPr>
                      </pic:pic>
                    </a:graphicData>
                  </a:graphic>
                </wp:inline>
              </w:drawing>
            </w:r>
          </w:p>
        </w:tc>
      </w:tr>
      <w:tr>
        <w:tc>
          <w:tcPr>
            <w:tcW w:type="dxa" w:w="3120"/>
          </w:tcPr>
          <w:p>
            <w:r>
              <w:rPr>
                <w:rFonts w:ascii="Helvetica" w:hAnsi="Helvetica"/>
                <w:sz w:val="20"/>
              </w:rPr>
              <w:t>resize_0.75</w:t>
            </w:r>
          </w:p>
        </w:tc>
        <w:tc>
          <w:tcPr>
            <w:tcW w:type="dxa" w:w="3120"/>
          </w:tcPr>
          <w:p>
            <w:r>
              <w:drawing>
                <wp:inline xmlns:a="http://schemas.openxmlformats.org/drawingml/2006/main" xmlns:pic="http://schemas.openxmlformats.org/drawingml/2006/picture">
                  <wp:extent cx="2194560" cy="914400"/>
                  <wp:docPr id="10" name="Picture 10"/>
                  <wp:cNvGraphicFramePr>
                    <a:graphicFrameLocks noChangeAspect="1"/>
                  </wp:cNvGraphicFramePr>
                  <a:graphic>
                    <a:graphicData uri="http://schemas.openxmlformats.org/drawingml/2006/picture">
                      <pic:pic>
                        <pic:nvPicPr>
                          <pic:cNvPr id="0" name="frame600_dct_resize_0.75.jpg"/>
                          <pic:cNvPicPr/>
                        </pic:nvPicPr>
                        <pic:blipFill>
                          <a:blip r:embed="rId18"/>
                          <a:stretch>
                            <a:fillRect/>
                          </a:stretch>
                        </pic:blipFill>
                        <pic:spPr>
                          <a:xfrm>
                            <a:off x="0" y="0"/>
                            <a:ext cx="2194560" cy="914400"/>
                          </a:xfrm>
                          <a:prstGeom prst="rect"/>
                        </pic:spPr>
                      </pic:pic>
                    </a:graphicData>
                  </a:graphic>
                </wp:inline>
              </w:drawing>
            </w:r>
          </w:p>
        </w:tc>
        <w:tc>
          <w:tcPr>
            <w:tcW w:type="dxa" w:w="3120"/>
          </w:tcPr>
          <w:p>
            <w:r>
              <w:drawing>
                <wp:inline xmlns:a="http://schemas.openxmlformats.org/drawingml/2006/main" xmlns:pic="http://schemas.openxmlformats.org/drawingml/2006/picture">
                  <wp:extent cx="2194560" cy="914400"/>
                  <wp:docPr id="11" name="Picture 11"/>
                  <wp:cNvGraphicFramePr>
                    <a:graphicFrameLocks noChangeAspect="1"/>
                  </wp:cNvGraphicFramePr>
                  <a:graphic>
                    <a:graphicData uri="http://schemas.openxmlformats.org/drawingml/2006/picture">
                      <pic:pic>
                        <pic:nvPicPr>
                          <pic:cNvPr id="0" name="frame600_trustmark_resize_0.75.jpg"/>
                          <pic:cNvPicPr/>
                        </pic:nvPicPr>
                        <pic:blipFill>
                          <a:blip r:embed="rId19"/>
                          <a:stretch>
                            <a:fillRect/>
                          </a:stretch>
                        </pic:blipFill>
                        <pic:spPr>
                          <a:xfrm>
                            <a:off x="0" y="0"/>
                            <a:ext cx="2194560" cy="914400"/>
                          </a:xfrm>
                          <a:prstGeom prst="rect"/>
                        </pic:spPr>
                      </pic:pic>
                    </a:graphicData>
                  </a:graphic>
                </wp:inline>
              </w:drawing>
            </w:r>
          </w:p>
        </w:tc>
      </w:tr>
      <w:tr>
        <w:tc>
          <w:tcPr>
            <w:tcW w:type="dxa" w:w="3120"/>
          </w:tcPr>
          <w:p>
            <w:r>
              <w:rPr>
                <w:rFonts w:ascii="Helvetica" w:hAnsi="Helvetica"/>
                <w:sz w:val="20"/>
              </w:rPr>
              <w:t>resize_0.5</w:t>
            </w:r>
          </w:p>
        </w:tc>
        <w:tc>
          <w:tcPr>
            <w:tcW w:type="dxa" w:w="3120"/>
          </w:tcPr>
          <w:p>
            <w:r>
              <w:drawing>
                <wp:inline xmlns:a="http://schemas.openxmlformats.org/drawingml/2006/main" xmlns:pic="http://schemas.openxmlformats.org/drawingml/2006/picture">
                  <wp:extent cx="2194560" cy="914400"/>
                  <wp:docPr id="12" name="Picture 12"/>
                  <wp:cNvGraphicFramePr>
                    <a:graphicFrameLocks noChangeAspect="1"/>
                  </wp:cNvGraphicFramePr>
                  <a:graphic>
                    <a:graphicData uri="http://schemas.openxmlformats.org/drawingml/2006/picture">
                      <pic:pic>
                        <pic:nvPicPr>
                          <pic:cNvPr id="0" name="frame600_dct_resize_0.5.jpg"/>
                          <pic:cNvPicPr/>
                        </pic:nvPicPr>
                        <pic:blipFill>
                          <a:blip r:embed="rId20"/>
                          <a:stretch>
                            <a:fillRect/>
                          </a:stretch>
                        </pic:blipFill>
                        <pic:spPr>
                          <a:xfrm>
                            <a:off x="0" y="0"/>
                            <a:ext cx="2194560" cy="914400"/>
                          </a:xfrm>
                          <a:prstGeom prst="rect"/>
                        </pic:spPr>
                      </pic:pic>
                    </a:graphicData>
                  </a:graphic>
                </wp:inline>
              </w:drawing>
            </w:r>
          </w:p>
        </w:tc>
        <w:tc>
          <w:tcPr>
            <w:tcW w:type="dxa" w:w="3120"/>
          </w:tcPr>
          <w:p>
            <w:r>
              <w:drawing>
                <wp:inline xmlns:a="http://schemas.openxmlformats.org/drawingml/2006/main" xmlns:pic="http://schemas.openxmlformats.org/drawingml/2006/picture">
                  <wp:extent cx="2194560" cy="914400"/>
                  <wp:docPr id="13" name="Picture 13"/>
                  <wp:cNvGraphicFramePr>
                    <a:graphicFrameLocks noChangeAspect="1"/>
                  </wp:cNvGraphicFramePr>
                  <a:graphic>
                    <a:graphicData uri="http://schemas.openxmlformats.org/drawingml/2006/picture">
                      <pic:pic>
                        <pic:nvPicPr>
                          <pic:cNvPr id="0" name="frame600_trustmark_resize_0.5.jpg"/>
                          <pic:cNvPicPr/>
                        </pic:nvPicPr>
                        <pic:blipFill>
                          <a:blip r:embed="rId21"/>
                          <a:stretch>
                            <a:fillRect/>
                          </a:stretch>
                        </pic:blipFill>
                        <pic:spPr>
                          <a:xfrm>
                            <a:off x="0" y="0"/>
                            <a:ext cx="2194560" cy="914400"/>
                          </a:xfrm>
                          <a:prstGeom prst="rect"/>
                        </pic:spPr>
                      </pic:pic>
                    </a:graphicData>
                  </a:graphic>
                </wp:inline>
              </w:drawing>
            </w:r>
          </w:p>
        </w:tc>
      </w:tr>
      <w:tr>
        <w:tc>
          <w:tcPr>
            <w:tcW w:type="dxa" w:w="3120"/>
          </w:tcPr>
          <w:p>
            <w:r>
              <w:rPr>
                <w:rFonts w:ascii="Helvetica" w:hAnsi="Helvetica"/>
                <w:sz w:val="20"/>
              </w:rPr>
              <w:t>crop_0.8</w:t>
            </w:r>
          </w:p>
        </w:tc>
        <w:tc>
          <w:tcPr>
            <w:tcW w:type="dxa" w:w="3120"/>
          </w:tcPr>
          <w:p>
            <w:r>
              <w:drawing>
                <wp:inline xmlns:a="http://schemas.openxmlformats.org/drawingml/2006/main" xmlns:pic="http://schemas.openxmlformats.org/drawingml/2006/picture">
                  <wp:extent cx="2194560" cy="914400"/>
                  <wp:docPr id="14" name="Picture 14"/>
                  <wp:cNvGraphicFramePr>
                    <a:graphicFrameLocks noChangeAspect="1"/>
                  </wp:cNvGraphicFramePr>
                  <a:graphic>
                    <a:graphicData uri="http://schemas.openxmlformats.org/drawingml/2006/picture">
                      <pic:pic>
                        <pic:nvPicPr>
                          <pic:cNvPr id="0" name="frame600_dct_crop_0.8.jpg"/>
                          <pic:cNvPicPr/>
                        </pic:nvPicPr>
                        <pic:blipFill>
                          <a:blip r:embed="rId22"/>
                          <a:stretch>
                            <a:fillRect/>
                          </a:stretch>
                        </pic:blipFill>
                        <pic:spPr>
                          <a:xfrm>
                            <a:off x="0" y="0"/>
                            <a:ext cx="2194560" cy="914400"/>
                          </a:xfrm>
                          <a:prstGeom prst="rect"/>
                        </pic:spPr>
                      </pic:pic>
                    </a:graphicData>
                  </a:graphic>
                </wp:inline>
              </w:drawing>
            </w:r>
          </w:p>
        </w:tc>
        <w:tc>
          <w:tcPr>
            <w:tcW w:type="dxa" w:w="3120"/>
          </w:tcPr>
          <w:p>
            <w:r>
              <w:drawing>
                <wp:inline xmlns:a="http://schemas.openxmlformats.org/drawingml/2006/main" xmlns:pic="http://schemas.openxmlformats.org/drawingml/2006/picture">
                  <wp:extent cx="2194560" cy="914400"/>
                  <wp:docPr id="15" name="Picture 15"/>
                  <wp:cNvGraphicFramePr>
                    <a:graphicFrameLocks noChangeAspect="1"/>
                  </wp:cNvGraphicFramePr>
                  <a:graphic>
                    <a:graphicData uri="http://schemas.openxmlformats.org/drawingml/2006/picture">
                      <pic:pic>
                        <pic:nvPicPr>
                          <pic:cNvPr id="0" name="frame600_trustmark_crop_0.8.jpg"/>
                          <pic:cNvPicPr/>
                        </pic:nvPicPr>
                        <pic:blipFill>
                          <a:blip r:embed="rId23"/>
                          <a:stretch>
                            <a:fillRect/>
                          </a:stretch>
                        </pic:blipFill>
                        <pic:spPr>
                          <a:xfrm>
                            <a:off x="0" y="0"/>
                            <a:ext cx="2194560" cy="914400"/>
                          </a:xfrm>
                          <a:prstGeom prst="rect"/>
                        </pic:spPr>
                      </pic:pic>
                    </a:graphicData>
                  </a:graphic>
                </wp:inline>
              </w:drawing>
            </w:r>
          </w:p>
        </w:tc>
      </w:tr>
      <w:tr>
        <w:tc>
          <w:tcPr>
            <w:tcW w:type="dxa" w:w="3120"/>
          </w:tcPr>
          <w:p>
            <w:r>
              <w:rPr>
                <w:rFonts w:ascii="Helvetica" w:hAnsi="Helvetica"/>
                <w:sz w:val="20"/>
              </w:rPr>
              <w:t>crop_0.6</w:t>
            </w:r>
          </w:p>
        </w:tc>
        <w:tc>
          <w:tcPr>
            <w:tcW w:type="dxa" w:w="3120"/>
          </w:tcPr>
          <w:p>
            <w:r>
              <w:drawing>
                <wp:inline xmlns:a="http://schemas.openxmlformats.org/drawingml/2006/main" xmlns:pic="http://schemas.openxmlformats.org/drawingml/2006/picture">
                  <wp:extent cx="2194560" cy="914400"/>
                  <wp:docPr id="16" name="Picture 16"/>
                  <wp:cNvGraphicFramePr>
                    <a:graphicFrameLocks noChangeAspect="1"/>
                  </wp:cNvGraphicFramePr>
                  <a:graphic>
                    <a:graphicData uri="http://schemas.openxmlformats.org/drawingml/2006/picture">
                      <pic:pic>
                        <pic:nvPicPr>
                          <pic:cNvPr id="0" name="frame600_dct_crop_0.6.jpg"/>
                          <pic:cNvPicPr/>
                        </pic:nvPicPr>
                        <pic:blipFill>
                          <a:blip r:embed="rId24"/>
                          <a:stretch>
                            <a:fillRect/>
                          </a:stretch>
                        </pic:blipFill>
                        <pic:spPr>
                          <a:xfrm>
                            <a:off x="0" y="0"/>
                            <a:ext cx="2194560" cy="914400"/>
                          </a:xfrm>
                          <a:prstGeom prst="rect"/>
                        </pic:spPr>
                      </pic:pic>
                    </a:graphicData>
                  </a:graphic>
                </wp:inline>
              </w:drawing>
            </w:r>
          </w:p>
        </w:tc>
        <w:tc>
          <w:tcPr>
            <w:tcW w:type="dxa" w:w="3120"/>
          </w:tcPr>
          <w:p>
            <w:r>
              <w:drawing>
                <wp:inline xmlns:a="http://schemas.openxmlformats.org/drawingml/2006/main" xmlns:pic="http://schemas.openxmlformats.org/drawingml/2006/picture">
                  <wp:extent cx="2194560" cy="914400"/>
                  <wp:docPr id="17" name="Picture 17"/>
                  <wp:cNvGraphicFramePr>
                    <a:graphicFrameLocks noChangeAspect="1"/>
                  </wp:cNvGraphicFramePr>
                  <a:graphic>
                    <a:graphicData uri="http://schemas.openxmlformats.org/drawingml/2006/picture">
                      <pic:pic>
                        <pic:nvPicPr>
                          <pic:cNvPr id="0" name="frame600_trustmark_crop_0.6.jpg"/>
                          <pic:cNvPicPr/>
                        </pic:nvPicPr>
                        <pic:blipFill>
                          <a:blip r:embed="rId25"/>
                          <a:stretch>
                            <a:fillRect/>
                          </a:stretch>
                        </pic:blipFill>
                        <pic:spPr>
                          <a:xfrm>
                            <a:off x="0" y="0"/>
                            <a:ext cx="2194560" cy="914400"/>
                          </a:xfrm>
                          <a:prstGeom prst="rect"/>
                        </pic:spPr>
                      </pic:pic>
                    </a:graphicData>
                  </a:graphic>
                </wp:inline>
              </w:drawing>
            </w:r>
          </w:p>
        </w:tc>
      </w:tr>
      <w:tr>
        <w:tc>
          <w:tcPr>
            <w:tcW w:type="dxa" w:w="3120"/>
          </w:tcPr>
          <w:p>
            <w:r>
              <w:rPr>
                <w:rFonts w:ascii="Helvetica" w:hAnsi="Helvetica"/>
                <w:sz w:val="20"/>
              </w:rPr>
              <w:t>noise_sigma2</w:t>
            </w:r>
          </w:p>
        </w:tc>
        <w:tc>
          <w:tcPr>
            <w:tcW w:type="dxa" w:w="3120"/>
          </w:tcPr>
          <w:p>
            <w:r>
              <w:drawing>
                <wp:inline xmlns:a="http://schemas.openxmlformats.org/drawingml/2006/main" xmlns:pic="http://schemas.openxmlformats.org/drawingml/2006/picture">
                  <wp:extent cx="2194560" cy="914400"/>
                  <wp:docPr id="18" name="Picture 18"/>
                  <wp:cNvGraphicFramePr>
                    <a:graphicFrameLocks noChangeAspect="1"/>
                  </wp:cNvGraphicFramePr>
                  <a:graphic>
                    <a:graphicData uri="http://schemas.openxmlformats.org/drawingml/2006/picture">
                      <pic:pic>
                        <pic:nvPicPr>
                          <pic:cNvPr id="0" name="frame600_dct_noise_sigma2.jpg"/>
                          <pic:cNvPicPr/>
                        </pic:nvPicPr>
                        <pic:blipFill>
                          <a:blip r:embed="rId26"/>
                          <a:stretch>
                            <a:fillRect/>
                          </a:stretch>
                        </pic:blipFill>
                        <pic:spPr>
                          <a:xfrm>
                            <a:off x="0" y="0"/>
                            <a:ext cx="2194560" cy="914400"/>
                          </a:xfrm>
                          <a:prstGeom prst="rect"/>
                        </pic:spPr>
                      </pic:pic>
                    </a:graphicData>
                  </a:graphic>
                </wp:inline>
              </w:drawing>
            </w:r>
          </w:p>
        </w:tc>
        <w:tc>
          <w:tcPr>
            <w:tcW w:type="dxa" w:w="3120"/>
          </w:tcPr>
          <w:p>
            <w:r>
              <w:drawing>
                <wp:inline xmlns:a="http://schemas.openxmlformats.org/drawingml/2006/main" xmlns:pic="http://schemas.openxmlformats.org/drawingml/2006/picture">
                  <wp:extent cx="2194560" cy="914400"/>
                  <wp:docPr id="19" name="Picture 19"/>
                  <wp:cNvGraphicFramePr>
                    <a:graphicFrameLocks noChangeAspect="1"/>
                  </wp:cNvGraphicFramePr>
                  <a:graphic>
                    <a:graphicData uri="http://schemas.openxmlformats.org/drawingml/2006/picture">
                      <pic:pic>
                        <pic:nvPicPr>
                          <pic:cNvPr id="0" name="frame600_trustmark_noise_sigma2.jpg"/>
                          <pic:cNvPicPr/>
                        </pic:nvPicPr>
                        <pic:blipFill>
                          <a:blip r:embed="rId27"/>
                          <a:stretch>
                            <a:fillRect/>
                          </a:stretch>
                        </pic:blipFill>
                        <pic:spPr>
                          <a:xfrm>
                            <a:off x="0" y="0"/>
                            <a:ext cx="2194560" cy="914400"/>
                          </a:xfrm>
                          <a:prstGeom prst="rect"/>
                        </pic:spPr>
                      </pic:pic>
                    </a:graphicData>
                  </a:graphic>
                </wp:inline>
              </w:drawing>
            </w:r>
          </w:p>
        </w:tc>
      </w:tr>
      <w:tr>
        <w:tc>
          <w:tcPr>
            <w:tcW w:type="dxa" w:w="3120"/>
          </w:tcPr>
          <w:p>
            <w:r>
              <w:rPr>
                <w:rFonts w:ascii="Helvetica" w:hAnsi="Helvetica"/>
                <w:sz w:val="20"/>
              </w:rPr>
              <w:t>noise_sigma5</w:t>
            </w:r>
          </w:p>
        </w:tc>
        <w:tc>
          <w:tcPr>
            <w:tcW w:type="dxa" w:w="3120"/>
          </w:tcPr>
          <w:p>
            <w:r>
              <w:drawing>
                <wp:inline xmlns:a="http://schemas.openxmlformats.org/drawingml/2006/main" xmlns:pic="http://schemas.openxmlformats.org/drawingml/2006/picture">
                  <wp:extent cx="2194560" cy="914400"/>
                  <wp:docPr id="20" name="Picture 20"/>
                  <wp:cNvGraphicFramePr>
                    <a:graphicFrameLocks noChangeAspect="1"/>
                  </wp:cNvGraphicFramePr>
                  <a:graphic>
                    <a:graphicData uri="http://schemas.openxmlformats.org/drawingml/2006/picture">
                      <pic:pic>
                        <pic:nvPicPr>
                          <pic:cNvPr id="0" name="frame600_dct_noise_sigma5.jpg"/>
                          <pic:cNvPicPr/>
                        </pic:nvPicPr>
                        <pic:blipFill>
                          <a:blip r:embed="rId28"/>
                          <a:stretch>
                            <a:fillRect/>
                          </a:stretch>
                        </pic:blipFill>
                        <pic:spPr>
                          <a:xfrm>
                            <a:off x="0" y="0"/>
                            <a:ext cx="2194560" cy="914400"/>
                          </a:xfrm>
                          <a:prstGeom prst="rect"/>
                        </pic:spPr>
                      </pic:pic>
                    </a:graphicData>
                  </a:graphic>
                </wp:inline>
              </w:drawing>
            </w:r>
          </w:p>
        </w:tc>
        <w:tc>
          <w:tcPr>
            <w:tcW w:type="dxa" w:w="3120"/>
          </w:tcPr>
          <w:p>
            <w:r>
              <w:drawing>
                <wp:inline xmlns:a="http://schemas.openxmlformats.org/drawingml/2006/main" xmlns:pic="http://schemas.openxmlformats.org/drawingml/2006/picture">
                  <wp:extent cx="2194560" cy="914400"/>
                  <wp:docPr id="21" name="Picture 21"/>
                  <wp:cNvGraphicFramePr>
                    <a:graphicFrameLocks noChangeAspect="1"/>
                  </wp:cNvGraphicFramePr>
                  <a:graphic>
                    <a:graphicData uri="http://schemas.openxmlformats.org/drawingml/2006/picture">
                      <pic:pic>
                        <pic:nvPicPr>
                          <pic:cNvPr id="0" name="frame600_trustmark_noise_sigma5.jpg"/>
                          <pic:cNvPicPr/>
                        </pic:nvPicPr>
                        <pic:blipFill>
                          <a:blip r:embed="rId29"/>
                          <a:stretch>
                            <a:fillRect/>
                          </a:stretch>
                        </pic:blipFill>
                        <pic:spPr>
                          <a:xfrm>
                            <a:off x="0" y="0"/>
                            <a:ext cx="2194560" cy="914400"/>
                          </a:xfrm>
                          <a:prstGeom prst="rect"/>
                        </pic:spPr>
                      </pic:pic>
                    </a:graphicData>
                  </a:graphic>
                </wp:inline>
              </w:drawing>
            </w:r>
          </w:p>
        </w:tc>
      </w:tr>
      <w:tr>
        <w:tc>
          <w:tcPr>
            <w:tcW w:type="dxa" w:w="3120"/>
          </w:tcPr>
          <w:p>
            <w:r>
              <w:rPr>
                <w:rFonts w:ascii="Helvetica" w:hAnsi="Helvetica"/>
                <w:sz w:val="20"/>
              </w:rPr>
              <w:t>noise_sigma10</w:t>
            </w:r>
          </w:p>
        </w:tc>
        <w:tc>
          <w:tcPr>
            <w:tcW w:type="dxa" w:w="3120"/>
          </w:tcPr>
          <w:p>
            <w:r>
              <w:drawing>
                <wp:inline xmlns:a="http://schemas.openxmlformats.org/drawingml/2006/main" xmlns:pic="http://schemas.openxmlformats.org/drawingml/2006/picture">
                  <wp:extent cx="2194560" cy="914400"/>
                  <wp:docPr id="22" name="Picture 22"/>
                  <wp:cNvGraphicFramePr>
                    <a:graphicFrameLocks noChangeAspect="1"/>
                  </wp:cNvGraphicFramePr>
                  <a:graphic>
                    <a:graphicData uri="http://schemas.openxmlformats.org/drawingml/2006/picture">
                      <pic:pic>
                        <pic:nvPicPr>
                          <pic:cNvPr id="0" name="frame600_dct_noise_sigma10.jpg"/>
                          <pic:cNvPicPr/>
                        </pic:nvPicPr>
                        <pic:blipFill>
                          <a:blip r:embed="rId30"/>
                          <a:stretch>
                            <a:fillRect/>
                          </a:stretch>
                        </pic:blipFill>
                        <pic:spPr>
                          <a:xfrm>
                            <a:off x="0" y="0"/>
                            <a:ext cx="2194560" cy="914400"/>
                          </a:xfrm>
                          <a:prstGeom prst="rect"/>
                        </pic:spPr>
                      </pic:pic>
                    </a:graphicData>
                  </a:graphic>
                </wp:inline>
              </w:drawing>
            </w:r>
          </w:p>
        </w:tc>
        <w:tc>
          <w:tcPr>
            <w:tcW w:type="dxa" w:w="3120"/>
          </w:tcPr>
          <w:p>
            <w:r>
              <w:drawing>
                <wp:inline xmlns:a="http://schemas.openxmlformats.org/drawingml/2006/main" xmlns:pic="http://schemas.openxmlformats.org/drawingml/2006/picture">
                  <wp:extent cx="2194560" cy="914400"/>
                  <wp:docPr id="23" name="Picture 23"/>
                  <wp:cNvGraphicFramePr>
                    <a:graphicFrameLocks noChangeAspect="1"/>
                  </wp:cNvGraphicFramePr>
                  <a:graphic>
                    <a:graphicData uri="http://schemas.openxmlformats.org/drawingml/2006/picture">
                      <pic:pic>
                        <pic:nvPicPr>
                          <pic:cNvPr id="0" name="frame600_trustmark_noise_sigma10.jpg"/>
                          <pic:cNvPicPr/>
                        </pic:nvPicPr>
                        <pic:blipFill>
                          <a:blip r:embed="rId31"/>
                          <a:stretch>
                            <a:fillRect/>
                          </a:stretch>
                        </pic:blipFill>
                        <pic:spPr>
                          <a:xfrm>
                            <a:off x="0" y="0"/>
                            <a:ext cx="2194560" cy="914400"/>
                          </a:xfrm>
                          <a:prstGeom prst="rect"/>
                        </pic:spPr>
                      </pic:pic>
                    </a:graphicData>
                  </a:graphic>
                </wp:inline>
              </w:drawing>
            </w:r>
          </w:p>
        </w:tc>
      </w:tr>
      <w:tr>
        <w:tc>
          <w:tcPr>
            <w:tcW w:type="dxa" w:w="3120"/>
          </w:tcPr>
          <w:p>
            <w:r>
              <w:rPr>
                <w:rFonts w:ascii="Helvetica" w:hAnsi="Helvetica"/>
                <w:sz w:val="20"/>
              </w:rPr>
              <w:t>frame_drop_0.5</w:t>
            </w:r>
          </w:p>
        </w:tc>
        <w:tc>
          <w:tcPr>
            <w:tcW w:type="dxa" w:w="3120"/>
          </w:tcPr>
          <w:p>
            <w:r>
              <w:drawing>
                <wp:inline xmlns:a="http://schemas.openxmlformats.org/drawingml/2006/main" xmlns:pic="http://schemas.openxmlformats.org/drawingml/2006/picture">
                  <wp:extent cx="2194560" cy="914400"/>
                  <wp:docPr id="24" name="Picture 24"/>
                  <wp:cNvGraphicFramePr>
                    <a:graphicFrameLocks noChangeAspect="1"/>
                  </wp:cNvGraphicFramePr>
                  <a:graphic>
                    <a:graphicData uri="http://schemas.openxmlformats.org/drawingml/2006/picture">
                      <pic:pic>
                        <pic:nvPicPr>
                          <pic:cNvPr id="0" name="frame600_dct_frame_drop_0.5.jpg"/>
                          <pic:cNvPicPr/>
                        </pic:nvPicPr>
                        <pic:blipFill>
                          <a:blip r:embed="rId32"/>
                          <a:stretch>
                            <a:fillRect/>
                          </a:stretch>
                        </pic:blipFill>
                        <pic:spPr>
                          <a:xfrm>
                            <a:off x="0" y="0"/>
                            <a:ext cx="2194560" cy="914400"/>
                          </a:xfrm>
                          <a:prstGeom prst="rect"/>
                        </pic:spPr>
                      </pic:pic>
                    </a:graphicData>
                  </a:graphic>
                </wp:inline>
              </w:drawing>
            </w:r>
          </w:p>
        </w:tc>
        <w:tc>
          <w:tcPr>
            <w:tcW w:type="dxa" w:w="3120"/>
          </w:tcPr>
          <w:p>
            <w:r>
              <w:drawing>
                <wp:inline xmlns:a="http://schemas.openxmlformats.org/drawingml/2006/main" xmlns:pic="http://schemas.openxmlformats.org/drawingml/2006/picture">
                  <wp:extent cx="2194560" cy="914400"/>
                  <wp:docPr id="25" name="Picture 25"/>
                  <wp:cNvGraphicFramePr>
                    <a:graphicFrameLocks noChangeAspect="1"/>
                  </wp:cNvGraphicFramePr>
                  <a:graphic>
                    <a:graphicData uri="http://schemas.openxmlformats.org/drawingml/2006/picture">
                      <pic:pic>
                        <pic:nvPicPr>
                          <pic:cNvPr id="0" name="frame600_trustmark_frame_drop_0.5.jpg"/>
                          <pic:cNvPicPr/>
                        </pic:nvPicPr>
                        <pic:blipFill>
                          <a:blip r:embed="rId33"/>
                          <a:stretch>
                            <a:fillRect/>
                          </a:stretch>
                        </pic:blipFill>
                        <pic:spPr>
                          <a:xfrm>
                            <a:off x="0" y="0"/>
                            <a:ext cx="2194560" cy="914400"/>
                          </a:xfrm>
                          <a:prstGeom prst="rect"/>
                        </pic:spPr>
                      </pic:pic>
                    </a:graphicData>
                  </a:graphic>
                </wp:inline>
              </w:drawing>
            </w:r>
          </w:p>
        </w:tc>
      </w:tr>
    </w:tbl>
    <w:p>
      <w:pPr>
        <w:pStyle w:val="Heading1"/>
      </w:pPr>
      <w:r>
        <w:rPr>
          <w:rFonts w:ascii="Helvetica" w:hAnsi="Helvetica"/>
        </w:rPr>
        <w:t>8. Failure analysis</w:t>
      </w:r>
    </w:p>
    <w:p>
      <w:r>
        <w:rPr>
          <w:rFonts w:ascii="Helvetica" w:hAnsi="Helvetica"/>
          <w:b w:val="0"/>
          <w:i w:val="0"/>
          <w:sz w:val="22"/>
        </w:rPr>
        <w:t>DCT degenerate-luma failure (§7 baseline 3 %): QIM on a flat Y=0 or Y=255 block is mathematically impossible — the spatial perturbation needed to write a bit clips at the value floor/ceiling, and the surviving coefficient returns to ≈δ/2 (the QIM decision boundary), so any noise flips the bit. The same affects solid backgrounds, letterbox bars, and blown-out highlights; bounded as long as enough content-bearing blocks remain for BCH to cover the lost chips. Fix: a luma-variance gate before embedding.</w:t>
      </w:r>
    </w:p>
    <w:p>
      <w:r>
        <w:rPr>
          <w:rFonts w:ascii="Helvetica" w:hAnsi="Helvetica"/>
          <w:b w:val="0"/>
          <w:i w:val="0"/>
          <w:sz w:val="22"/>
        </w:rPr>
        <w:t>Genuine algorithmic limits (§7 attack table): heavy crop (0.6×) destroys both — DCT loses coordinate alignment; TrustMark's learned receptive field saturates once 40 % of the frame is discarded. Aggressive recompression (CRF 36) erases mid-band DCT coefficients faster than BCH(127, t=11) can recover, and even TrustMark's residual mostly fails. The screen-capture path (§7.1) is a separate failure mode entirely — out-of-distribution for both models.</w:t>
      </w:r>
    </w:p>
    <w:p>
      <w:pPr>
        <w:pStyle w:val="Heading1"/>
      </w:pPr>
      <w:r>
        <w:rPr>
          <w:rFonts w:ascii="Helvetica" w:hAnsi="Helvetica"/>
        </w:rPr>
        <w:t>9. Tradeoff discussion</w:t>
      </w:r>
    </w:p>
    <w:tbl>
      <w:tblPr>
        <w:tblStyle w:val="LightGrid-Accent1"/>
        <w:tblW w:type="auto" w:w="0"/>
        <w:tblLook w:firstColumn="1" w:firstRow="1" w:lastColumn="0" w:lastRow="0" w:noHBand="0" w:noVBand="1" w:val="04A0"/>
      </w:tblPr>
      <w:tblGrid>
        <w:gridCol w:w="3120"/>
        <w:gridCol w:w="3120"/>
        <w:gridCol w:w="3120"/>
      </w:tblGrid>
      <w:tr>
        <w:tc>
          <w:tcPr>
            <w:tcW w:type="dxa" w:w="2880"/>
          </w:tcPr>
          <w:p>
            <w:r>
              <w:rPr>
                <w:rFonts w:ascii="Helvetica" w:hAnsi="Helvetica"/>
                <w:b/>
                <w:sz w:val="20"/>
              </w:rPr>
              <w:t>Dimension</w:t>
            </w:r>
          </w:p>
        </w:tc>
        <w:tc>
          <w:tcPr>
            <w:tcW w:type="dxa" w:w="3168"/>
          </w:tcPr>
          <w:p>
            <w:r>
              <w:rPr>
                <w:rFonts w:ascii="Helvetica" w:hAnsi="Helvetica"/>
                <w:b/>
                <w:sz w:val="20"/>
              </w:rPr>
              <w:t>DCT-QIM</w:t>
            </w:r>
          </w:p>
        </w:tc>
        <w:tc>
          <w:tcPr>
            <w:tcW w:type="dxa" w:w="3168"/>
          </w:tcPr>
          <w:p>
            <w:r>
              <w:rPr>
                <w:rFonts w:ascii="Helvetica" w:hAnsi="Helvetica"/>
                <w:b/>
                <w:sz w:val="20"/>
              </w:rPr>
              <w:t>TrustMark</w:t>
            </w:r>
          </w:p>
        </w:tc>
      </w:tr>
      <w:tr>
        <w:tc>
          <w:tcPr>
            <w:tcW w:type="dxa" w:w="2880"/>
            <w:vAlign w:val="center"/>
          </w:tcPr>
          <w:p>
            <w:r>
              <w:rPr>
                <w:rFonts w:ascii="Helvetica" w:hAnsi="Helvetica"/>
                <w:sz w:val="20"/>
              </w:rPr>
              <w:t>Visual fidelity (PSNR)</w:t>
            </w:r>
          </w:p>
        </w:tc>
        <w:tc>
          <w:tcPr>
            <w:tcW w:type="dxa" w:w="3168"/>
            <w:vAlign w:val="center"/>
          </w:tcPr>
          <w:p>
            <w:r>
              <w:rPr>
                <w:rFonts w:ascii="Helvetica" w:hAnsi="Helvetica"/>
                <w:sz w:val="20"/>
              </w:rPr>
              <w:t>Higher (~57 dB)</w:t>
            </w:r>
          </w:p>
        </w:tc>
        <w:tc>
          <w:tcPr>
            <w:tcW w:type="dxa" w:w="3168"/>
            <w:vAlign w:val="center"/>
          </w:tcPr>
          <w:p>
            <w:r>
              <w:rPr>
                <w:rFonts w:ascii="Helvetica" w:hAnsi="Helvetica"/>
                <w:sz w:val="20"/>
              </w:rPr>
              <w:t>Lower (~47 dB)</w:t>
            </w:r>
          </w:p>
        </w:tc>
      </w:tr>
      <w:tr>
        <w:tc>
          <w:tcPr>
            <w:tcW w:type="dxa" w:w="2880"/>
            <w:vAlign w:val="center"/>
          </w:tcPr>
          <w:p>
            <w:r>
              <w:rPr>
                <w:rFonts w:ascii="Helvetica" w:hAnsi="Helvetica"/>
                <w:sz w:val="20"/>
              </w:rPr>
              <w:t>Codec robustness (≤ CRF 32)</w:t>
            </w:r>
          </w:p>
        </w:tc>
        <w:tc>
          <w:tcPr>
            <w:tcW w:type="dxa" w:w="3168"/>
            <w:vAlign w:val="center"/>
          </w:tcPr>
          <w:p>
            <w:r>
              <w:rPr>
                <w:rFonts w:ascii="Helvetica" w:hAnsi="Helvetica"/>
                <w:sz w:val="20"/>
              </w:rPr>
              <w:t>Weak</w:t>
            </w:r>
          </w:p>
        </w:tc>
        <w:tc>
          <w:tcPr>
            <w:tcW w:type="dxa" w:w="3168"/>
            <w:vAlign w:val="center"/>
          </w:tcPr>
          <w:p>
            <w:r>
              <w:rPr>
                <w:rFonts w:ascii="Helvetica" w:hAnsi="Helvetica"/>
                <w:sz w:val="20"/>
              </w:rPr>
              <w:t>Strong</w:t>
            </w:r>
          </w:p>
        </w:tc>
      </w:tr>
      <w:tr>
        <w:tc>
          <w:tcPr>
            <w:tcW w:type="dxa" w:w="2880"/>
            <w:vAlign w:val="center"/>
          </w:tcPr>
          <w:p>
            <w:r>
              <w:rPr>
                <w:rFonts w:ascii="Helvetica" w:hAnsi="Helvetica"/>
                <w:sz w:val="20"/>
              </w:rPr>
              <w:t>Resize / mild-crop robustness</w:t>
            </w:r>
          </w:p>
        </w:tc>
        <w:tc>
          <w:tcPr>
            <w:tcW w:type="dxa" w:w="3168"/>
            <w:vAlign w:val="center"/>
          </w:tcPr>
          <w:p>
            <w:r>
              <w:rPr>
                <w:rFonts w:ascii="Helvetica" w:hAnsi="Helvetica"/>
                <w:sz w:val="20"/>
              </w:rPr>
              <w:t>Brittle</w:t>
            </w:r>
          </w:p>
        </w:tc>
        <w:tc>
          <w:tcPr>
            <w:tcW w:type="dxa" w:w="3168"/>
            <w:vAlign w:val="center"/>
          </w:tcPr>
          <w:p>
            <w:r>
              <w:rPr>
                <w:rFonts w:ascii="Helvetica" w:hAnsi="Helvetica"/>
                <w:sz w:val="20"/>
              </w:rPr>
              <w:t>Strong</w:t>
            </w:r>
          </w:p>
        </w:tc>
      </w:tr>
      <w:tr>
        <w:tc>
          <w:tcPr>
            <w:tcW w:type="dxa" w:w="2880"/>
            <w:vAlign w:val="center"/>
          </w:tcPr>
          <w:p>
            <w:r>
              <w:rPr>
                <w:rFonts w:ascii="Helvetica" w:hAnsi="Helvetica"/>
                <w:sz w:val="20"/>
              </w:rPr>
              <w:t>Heavy crop / screen-capture</w:t>
            </w:r>
          </w:p>
        </w:tc>
        <w:tc>
          <w:tcPr>
            <w:tcW w:type="dxa" w:w="3168"/>
            <w:vAlign w:val="center"/>
          </w:tcPr>
          <w:p>
            <w:r>
              <w:rPr>
                <w:rFonts w:ascii="Helvetica" w:hAnsi="Helvetica"/>
                <w:sz w:val="20"/>
              </w:rPr>
              <w:t>Brittle</w:t>
            </w:r>
          </w:p>
        </w:tc>
        <w:tc>
          <w:tcPr>
            <w:tcW w:type="dxa" w:w="3168"/>
            <w:vAlign w:val="center"/>
          </w:tcPr>
          <w:p>
            <w:r>
              <w:rPr>
                <w:rFonts w:ascii="Helvetica" w:hAnsi="Helvetica"/>
                <w:sz w:val="20"/>
              </w:rPr>
              <w:t>Brittle</w:t>
            </w:r>
          </w:p>
        </w:tc>
      </w:tr>
      <w:tr>
        <w:tc>
          <w:tcPr>
            <w:tcW w:type="dxa" w:w="2880"/>
            <w:vAlign w:val="center"/>
          </w:tcPr>
          <w:p>
            <w:r>
              <w:rPr>
                <w:rFonts w:ascii="Helvetica" w:hAnsi="Helvetica"/>
                <w:sz w:val="20"/>
              </w:rPr>
              <w:t>Gaussian noise</w:t>
            </w:r>
          </w:p>
        </w:tc>
        <w:tc>
          <w:tcPr>
            <w:tcW w:type="dxa" w:w="3168"/>
            <w:vAlign w:val="center"/>
          </w:tcPr>
          <w:p>
            <w:r>
              <w:rPr>
                <w:rFonts w:ascii="Helvetica" w:hAnsi="Helvetica"/>
                <w:sz w:val="20"/>
              </w:rPr>
              <w:t>Strong</w:t>
            </w:r>
          </w:p>
        </w:tc>
        <w:tc>
          <w:tcPr>
            <w:tcW w:type="dxa" w:w="3168"/>
            <w:vAlign w:val="center"/>
          </w:tcPr>
          <w:p>
            <w:r>
              <w:rPr>
                <w:rFonts w:ascii="Helvetica" w:hAnsi="Helvetica"/>
                <w:sz w:val="20"/>
              </w:rPr>
              <w:t>Strong</w:t>
            </w:r>
          </w:p>
        </w:tc>
      </w:tr>
      <w:tr>
        <w:tc>
          <w:tcPr>
            <w:tcW w:type="dxa" w:w="2880"/>
            <w:vAlign w:val="center"/>
          </w:tcPr>
          <w:p>
            <w:r>
              <w:rPr>
                <w:rFonts w:ascii="Helvetica" w:hAnsi="Helvetica"/>
                <w:sz w:val="20"/>
              </w:rPr>
              <w:t>Compute / latency</w:t>
            </w:r>
          </w:p>
        </w:tc>
        <w:tc>
          <w:tcPr>
            <w:tcW w:type="dxa" w:w="3168"/>
            <w:vAlign w:val="center"/>
          </w:tcPr>
          <w:p>
            <w:r>
              <w:rPr>
                <w:rFonts w:ascii="Helvetica" w:hAnsi="Helvetica"/>
                <w:sz w:val="20"/>
              </w:rPr>
              <w:t>CPU, ms / frame</w:t>
            </w:r>
          </w:p>
        </w:tc>
        <w:tc>
          <w:tcPr>
            <w:tcW w:type="dxa" w:w="3168"/>
            <w:vAlign w:val="center"/>
          </w:tcPr>
          <w:p>
            <w:r>
              <w:rPr>
                <w:rFonts w:ascii="Helvetica" w:hAnsi="Helvetica"/>
                <w:sz w:val="20"/>
              </w:rPr>
              <w:t>GPU preferred, ~40 ms / frame</w:t>
            </w:r>
          </w:p>
        </w:tc>
      </w:tr>
      <w:tr>
        <w:tc>
          <w:tcPr>
            <w:tcW w:type="dxa" w:w="2880"/>
            <w:vAlign w:val="center"/>
          </w:tcPr>
          <w:p>
            <w:r>
              <w:rPr>
                <w:rFonts w:ascii="Helvetica" w:hAnsi="Helvetica"/>
                <w:sz w:val="20"/>
              </w:rPr>
              <w:t>Dependencies</w:t>
            </w:r>
          </w:p>
        </w:tc>
        <w:tc>
          <w:tcPr>
            <w:tcW w:type="dxa" w:w="3168"/>
            <w:vAlign w:val="center"/>
          </w:tcPr>
          <w:p>
            <w:r>
              <w:rPr>
                <w:rFonts w:ascii="Helvetica" w:hAnsi="Helvetica"/>
                <w:sz w:val="20"/>
              </w:rPr>
              <w:t>bchlib only</w:t>
            </w:r>
          </w:p>
        </w:tc>
        <w:tc>
          <w:tcPr>
            <w:tcW w:type="dxa" w:w="3168"/>
            <w:vAlign w:val="center"/>
          </w:tcPr>
          <w:p>
            <w:r>
              <w:rPr>
                <w:rFonts w:ascii="Helvetica" w:hAnsi="Helvetica"/>
                <w:sz w:val="20"/>
              </w:rPr>
              <w:t>PyTorch + ~200 MB weights</w:t>
            </w:r>
          </w:p>
        </w:tc>
      </w:tr>
      <w:tr>
        <w:tc>
          <w:tcPr>
            <w:tcW w:type="dxa" w:w="2880"/>
            <w:vAlign w:val="center"/>
          </w:tcPr>
          <w:p>
            <w:r>
              <w:rPr>
                <w:rFonts w:ascii="Helvetica" w:hAnsi="Helvetica"/>
                <w:sz w:val="20"/>
              </w:rPr>
              <w:t>Determinism</w:t>
            </w:r>
          </w:p>
        </w:tc>
        <w:tc>
          <w:tcPr>
            <w:tcW w:type="dxa" w:w="3168"/>
            <w:vAlign w:val="center"/>
          </w:tcPr>
          <w:p>
            <w:r>
              <w:rPr>
                <w:rFonts w:ascii="Helvetica" w:hAnsi="Helvetica"/>
                <w:sz w:val="20"/>
              </w:rPr>
              <w:t>Fully deterministic</w:t>
            </w:r>
          </w:p>
        </w:tc>
        <w:tc>
          <w:tcPr>
            <w:tcW w:type="dxa" w:w="3168"/>
            <w:vAlign w:val="center"/>
          </w:tcPr>
          <w:p>
            <w:r>
              <w:rPr>
                <w:rFonts w:ascii="Helvetica" w:hAnsi="Helvetica"/>
                <w:sz w:val="20"/>
              </w:rPr>
              <w:t>Stochastic (model precision)</w:t>
            </w:r>
          </w:p>
        </w:tc>
      </w:tr>
    </w:tbl>
    <w:p>
      <w:r>
        <w:rPr>
          <w:rFonts w:ascii="Helvetica" w:hAnsi="Helvetica"/>
          <w:b w:val="0"/>
          <w:i w:val="0"/>
          <w:sz w:val="22"/>
        </w:rPr>
        <w:t>DCT is the clean choice when invisibility and deployment simplicity dominate and the only threat is moderate codec compression or noise. TrustMark wins under any pipeline that may resize, crop, or transcode the video — paid for with model weights and inference cost. The two methods' weaknesses are largely disjoint, so running both in parallel and cross-checking is the natural high-stakes deployment.</w:t>
      </w:r>
    </w:p>
    <w:p>
      <w:pPr>
        <w:pStyle w:val="Heading1"/>
      </w:pPr>
      <w:r>
        <w:rPr>
          <w:rFonts w:ascii="Helvetica" w:hAnsi="Helvetica"/>
        </w:rPr>
        <w:t>10. Future improvements</w:t>
      </w:r>
    </w:p>
    <w:p>
      <w:pPr>
        <w:pStyle w:val="ListBullet"/>
      </w:pPr>
      <w:r>
        <w:rPr>
          <w:rFonts w:ascii="Helvetica" w:hAnsi="Helvetica"/>
          <w:sz w:val="22"/>
        </w:rPr>
        <w:t>Content-aware DCT embedding — skip / scale-down δ on flat-luma blocks to eliminate the §8 degenerate-luma failure without dataset curation.</w:t>
      </w:r>
    </w:p>
    <w:p>
      <w:pPr>
        <w:pStyle w:val="ListBullet"/>
      </w:pPr>
      <w:r>
        <w:rPr>
          <w:rFonts w:ascii="Helvetica" w:hAnsi="Helvetica"/>
          <w:sz w:val="22"/>
        </w:rPr>
        <w:t>I-frame-aware embedding — PyAV exposes packet flags; raise δ on I-frames and cut-adjacent frames where the codec is harshest.</w:t>
      </w:r>
    </w:p>
    <w:p>
      <w:pPr>
        <w:pStyle w:val="ListBullet"/>
      </w:pPr>
      <w:r>
        <w:rPr>
          <w:rFonts w:ascii="Helvetica" w:hAnsi="Helvetica"/>
          <w:sz w:val="22"/>
        </w:rPr>
        <w:t>Hybrid DCT + TrustMark pipeline — decode both, weighted-vote or fall-back; weaknesses are disjoint (§9).</w:t>
      </w:r>
    </w:p>
    <w:p>
      <w:pPr>
        <w:pStyle w:val="ListBullet"/>
      </w:pPr>
      <w:r>
        <w:rPr>
          <w:rFonts w:ascii="Helvetica" w:hAnsi="Helvetica"/>
          <w:sz w:val="22"/>
        </w:rPr>
        <w:t>Scale- and rotation-equivariant DCT — estimate scale/rotation via a known marker, rectify before decode. Closes the DCT-TM gap on resize and recovers the screen-capture case (§7.1).</w:t>
      </w:r>
    </w:p>
    <w:p>
      <w:pPr>
        <w:pStyle w:val="ListBullet"/>
      </w:pPr>
      <w:r>
        <w:rPr>
          <w:rFonts w:ascii="Helvetica" w:hAnsi="Helvetica"/>
          <w:sz w:val="22"/>
        </w:rPr>
        <w:t>Train / use a print-scan-tolerant TrustMark variant — addresses the camera-capture failure mode at the cost of a different weight file.</w:t>
      </w:r>
    </w:p>
    <w:p>
      <w:pPr>
        <w:pStyle w:val="ListBullet"/>
      </w:pPr>
      <w:r>
        <w:rPr>
          <w:rFonts w:ascii="Helvetica" w:hAnsi="Helvetica"/>
          <w:sz w:val="22"/>
        </w:rPr>
        <w:t>Adversarial-attack additions — oracle attack, watermark-aware denoising, collusion across multiple watermarked copies.</w:t>
      </w:r>
    </w:p>
    <w:p>
      <w:pPr>
        <w:pStyle w:val="ListBullet"/>
      </w:pPr>
      <w:r>
        <w:rPr>
          <w:rFonts w:ascii="Helvetica" w:hAnsi="Helvetica"/>
          <w:sz w:val="22"/>
        </w:rPr>
        <w:t>GPU batching for TrustMark — current per-frame Python overhead dominates; batched inference would turn 'experimental' throughput into 'production'.</w:t>
      </w:r>
    </w:p>
    <w:p>
      <w:pPr>
        <w:pStyle w:val="Heading1"/>
      </w:pPr>
      <w:r>
        <w:rPr>
          <w:rFonts w:ascii="Helvetica" w:hAnsi="Helvetica"/>
        </w:rPr>
        <w:t>References</w:t>
      </w:r>
    </w:p>
    <w:p>
      <w:pPr>
        <w:pStyle w:val="ListBullet"/>
      </w:pPr>
      <w:r>
        <w:rPr>
          <w:rFonts w:ascii="Helvetica" w:hAnsi="Helvetica"/>
          <w:sz w:val="22"/>
        </w:rPr>
        <w:t>Bui T., Agarwal S., Collomosse J. (2023). "TrustMark: Universal Watermarking for Arbitrary Resolution Images." arXiv:2311.18297. https://arxiv.org/abs/2311.18297  —  reference implementation: https://github.com/adobe/trustmark</w:t>
      </w:r>
    </w:p>
    <w:p>
      <w:pPr>
        <w:pStyle w:val="ListBullet"/>
      </w:pPr>
      <w:r>
        <w:rPr>
          <w:rFonts w:ascii="Helvetica" w:hAnsi="Helvetica"/>
          <w:sz w:val="22"/>
        </w:rPr>
        <w:t>Blender Foundation (2012). "Tears of Steel" — Mango Open Movie Project. https://mango.blender.org/  (source clip excerpt used as the test video throughout this report).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