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1A6" w:rsidRDefault="00A90E91">
      <w:pPr>
        <w:rPr>
          <w:lang w:val="en-US"/>
        </w:rPr>
      </w:pPr>
      <w:r w:rsidRPr="00A90E91">
        <w:rPr>
          <w:lang w:val="en-US"/>
        </w:rPr>
        <w:t>We can assume that one A</w:t>
      </w:r>
      <w:r>
        <w:rPr>
          <w:lang w:val="en-US"/>
        </w:rPr>
        <w:t xml:space="preserve">M machine is available at each </w:t>
      </w:r>
      <w:r w:rsidR="000B6ADC">
        <w:rPr>
          <w:lang w:val="en-US"/>
        </w:rPr>
        <w:t xml:space="preserve">facility and that the production is made on-demand. This means that when dealing with AM we do not stock parts but we need to stock raw material to produce the parts. We can as first step assume that the printing time is negligible, especially when compared to the transportation time. </w:t>
      </w:r>
      <w:proofErr w:type="gramStart"/>
      <w:r w:rsidR="000B6ADC">
        <w:rPr>
          <w:lang w:val="en-US"/>
        </w:rPr>
        <w:t>So</w:t>
      </w:r>
      <w:proofErr w:type="gramEnd"/>
      <w:r w:rsidR="000B6ADC">
        <w:rPr>
          <w:lang w:val="en-US"/>
        </w:rPr>
        <w:t xml:space="preserve"> the difference with the CM model is:</w:t>
      </w:r>
    </w:p>
    <w:p w:rsidR="000B6ADC" w:rsidRDefault="000B6ADC" w:rsidP="000B6ADC">
      <w:pPr>
        <w:pStyle w:val="ListParagraph"/>
        <w:numPr>
          <w:ilvl w:val="0"/>
          <w:numId w:val="1"/>
        </w:numPr>
        <w:rPr>
          <w:lang w:val="en-US"/>
        </w:rPr>
      </w:pPr>
      <w:r>
        <w:rPr>
          <w:lang w:val="en-US"/>
        </w:rPr>
        <w:t>Storage of raw materials now instead of parts</w:t>
      </w:r>
    </w:p>
    <w:p w:rsidR="000B6ADC" w:rsidRDefault="000B6ADC" w:rsidP="000B6ADC">
      <w:pPr>
        <w:pStyle w:val="ListParagraph"/>
        <w:numPr>
          <w:ilvl w:val="0"/>
          <w:numId w:val="1"/>
        </w:numPr>
        <w:rPr>
          <w:lang w:val="en-US"/>
        </w:rPr>
      </w:pPr>
      <w:r>
        <w:rPr>
          <w:lang w:val="en-US"/>
        </w:rPr>
        <w:t>We have to consider the investment costs for AM printers (annual depreciation)</w:t>
      </w:r>
    </w:p>
    <w:p w:rsidR="000B6ADC" w:rsidRDefault="000B6ADC" w:rsidP="000B6ADC">
      <w:pPr>
        <w:rPr>
          <w:lang w:val="en-US"/>
        </w:rPr>
      </w:pPr>
      <w:proofErr w:type="gramStart"/>
      <w:r>
        <w:rPr>
          <w:lang w:val="en-US"/>
        </w:rPr>
        <w:t>So</w:t>
      </w:r>
      <w:proofErr w:type="gramEnd"/>
      <w:r>
        <w:rPr>
          <w:lang w:val="en-US"/>
        </w:rPr>
        <w:t xml:space="preserve"> a first attempt of modelling the AM problem could be this:</w:t>
      </w:r>
    </w:p>
    <w:p w:rsidR="000B6ADC" w:rsidRDefault="000B6ADC" w:rsidP="000B6ADC">
      <w:pPr>
        <w:rPr>
          <w:lang w:val="en-US"/>
        </w:rPr>
      </w:pPr>
    </w:p>
    <w:p w:rsidR="000B6ADC" w:rsidRDefault="000B6ADC" w:rsidP="000B6ADC">
      <w:pPr>
        <w:rPr>
          <w:b/>
          <w:lang w:val="en-US"/>
        </w:rPr>
      </w:pPr>
      <w:r>
        <w:rPr>
          <w:b/>
          <w:lang w:val="en-US"/>
        </w:rPr>
        <w:t>Indices and sets</w:t>
      </w:r>
    </w:p>
    <w:tbl>
      <w:tblPr>
        <w:tblStyle w:val="TableGrid"/>
        <w:tblW w:w="0" w:type="auto"/>
        <w:tblLook w:val="04A0" w:firstRow="1" w:lastRow="0" w:firstColumn="1" w:lastColumn="0" w:noHBand="0" w:noVBand="1"/>
      </w:tblPr>
      <w:tblGrid>
        <w:gridCol w:w="2155"/>
        <w:gridCol w:w="6907"/>
      </w:tblGrid>
      <w:tr w:rsidR="000B6ADC" w:rsidRPr="00E85201" w:rsidTr="000B6ADC">
        <w:tc>
          <w:tcPr>
            <w:tcW w:w="2155" w:type="dxa"/>
          </w:tcPr>
          <w:p w:rsidR="000B6ADC" w:rsidRDefault="000B6ADC" w:rsidP="000B6ADC">
            <w:pPr>
              <w:jc w:val="center"/>
              <w:rPr>
                <w:lang w:val="en-US"/>
              </w:rPr>
            </w:pPr>
            <m:oMathPara>
              <m:oMath>
                <m:r>
                  <w:rPr>
                    <w:rFonts w:ascii="Cambria Math" w:hAnsi="Cambria Math"/>
                    <w:lang w:val="en-US"/>
                  </w:rPr>
                  <m:t>I</m:t>
                </m:r>
              </m:oMath>
            </m:oMathPara>
          </w:p>
        </w:tc>
        <w:tc>
          <w:tcPr>
            <w:tcW w:w="6907" w:type="dxa"/>
          </w:tcPr>
          <w:p w:rsidR="000B6ADC" w:rsidRDefault="000B6ADC" w:rsidP="000B6ADC">
            <w:pPr>
              <w:jc w:val="center"/>
              <w:rPr>
                <w:lang w:val="en-US"/>
              </w:rPr>
            </w:pPr>
            <w:r>
              <w:rPr>
                <w:lang w:val="en-US"/>
              </w:rPr>
              <w:t xml:space="preserve">Candidate facilities, indexed by </w:t>
            </w:r>
            <m:oMath>
              <m:r>
                <w:rPr>
                  <w:rFonts w:ascii="Cambria Math" w:hAnsi="Cambria Math"/>
                  <w:lang w:val="en-US"/>
                </w:rPr>
                <m:t>i</m:t>
              </m:r>
            </m:oMath>
          </w:p>
        </w:tc>
      </w:tr>
      <w:tr w:rsidR="000B6ADC" w:rsidTr="000B6ADC">
        <w:tc>
          <w:tcPr>
            <w:tcW w:w="2155" w:type="dxa"/>
          </w:tcPr>
          <w:p w:rsidR="000B6ADC" w:rsidRDefault="000B6ADC" w:rsidP="000B6ADC">
            <w:pPr>
              <w:jc w:val="center"/>
              <w:rPr>
                <w:lang w:val="en-US"/>
              </w:rPr>
            </w:pPr>
            <m:oMathPara>
              <m:oMath>
                <m:r>
                  <w:rPr>
                    <w:rFonts w:ascii="Cambria Math" w:hAnsi="Cambria Math"/>
                    <w:lang w:val="en-US"/>
                  </w:rPr>
                  <m:t>J</m:t>
                </m:r>
              </m:oMath>
            </m:oMathPara>
          </w:p>
        </w:tc>
        <w:tc>
          <w:tcPr>
            <w:tcW w:w="6907" w:type="dxa"/>
          </w:tcPr>
          <w:p w:rsidR="000B6ADC" w:rsidRDefault="000B6ADC" w:rsidP="000B6ADC">
            <w:pPr>
              <w:jc w:val="center"/>
              <w:rPr>
                <w:lang w:val="en-US"/>
              </w:rPr>
            </w:pPr>
            <w:r>
              <w:rPr>
                <w:lang w:val="en-US"/>
              </w:rPr>
              <w:t xml:space="preserve">Customers, indexed by </w:t>
            </w:r>
            <m:oMath>
              <m:r>
                <w:rPr>
                  <w:rFonts w:ascii="Cambria Math" w:hAnsi="Cambria Math"/>
                  <w:lang w:val="en-US"/>
                </w:rPr>
                <m:t>j</m:t>
              </m:r>
            </m:oMath>
          </w:p>
        </w:tc>
      </w:tr>
      <w:tr w:rsidR="000B6ADC" w:rsidRPr="00E85201" w:rsidTr="000B6ADC">
        <w:tc>
          <w:tcPr>
            <w:tcW w:w="2155" w:type="dxa"/>
          </w:tcPr>
          <w:p w:rsidR="000B6ADC" w:rsidRDefault="000B6ADC" w:rsidP="000B6ADC">
            <w:pPr>
              <w:jc w:val="center"/>
              <w:rPr>
                <w:lang w:val="en-US"/>
              </w:rPr>
            </w:pPr>
            <m:oMathPara>
              <m:oMath>
                <m:r>
                  <w:rPr>
                    <w:rFonts w:ascii="Cambria Math" w:hAnsi="Cambria Math"/>
                    <w:lang w:val="en-US"/>
                  </w:rPr>
                  <m:t>K</m:t>
                </m:r>
              </m:oMath>
            </m:oMathPara>
          </w:p>
        </w:tc>
        <w:tc>
          <w:tcPr>
            <w:tcW w:w="6907" w:type="dxa"/>
          </w:tcPr>
          <w:p w:rsidR="000B6ADC" w:rsidRDefault="000B6ADC" w:rsidP="000B6ADC">
            <w:pPr>
              <w:jc w:val="center"/>
              <w:rPr>
                <w:lang w:val="en-US"/>
              </w:rPr>
            </w:pPr>
            <w:r>
              <w:rPr>
                <w:lang w:val="en-US"/>
              </w:rPr>
              <w:t xml:space="preserve">Potential replacement conditions, indexed by </w:t>
            </w:r>
            <m:oMath>
              <m:r>
                <w:rPr>
                  <w:rFonts w:ascii="Cambria Math" w:hAnsi="Cambria Math"/>
                  <w:lang w:val="en-US"/>
                </w:rPr>
                <m:t>k</m:t>
              </m:r>
            </m:oMath>
          </w:p>
        </w:tc>
      </w:tr>
    </w:tbl>
    <w:p w:rsidR="000B6ADC" w:rsidRPr="000B6ADC" w:rsidRDefault="000B6ADC" w:rsidP="000B6ADC">
      <w:pPr>
        <w:rPr>
          <w:lang w:val="en-US"/>
        </w:rPr>
      </w:pPr>
    </w:p>
    <w:p w:rsidR="000B6ADC" w:rsidRDefault="000B6ADC" w:rsidP="000B6ADC">
      <w:pPr>
        <w:rPr>
          <w:b/>
          <w:lang w:val="en-US"/>
        </w:rPr>
      </w:pPr>
      <w:r>
        <w:rPr>
          <w:b/>
          <w:lang w:val="en-US"/>
        </w:rPr>
        <w:t>Data</w:t>
      </w:r>
    </w:p>
    <w:tbl>
      <w:tblPr>
        <w:tblStyle w:val="TableGrid"/>
        <w:tblW w:w="0" w:type="auto"/>
        <w:tblLook w:val="04A0" w:firstRow="1" w:lastRow="0" w:firstColumn="1" w:lastColumn="0" w:noHBand="0" w:noVBand="1"/>
      </w:tblPr>
      <w:tblGrid>
        <w:gridCol w:w="1435"/>
        <w:gridCol w:w="7627"/>
      </w:tblGrid>
      <w:tr w:rsidR="000B6ADC" w:rsidRPr="00E85201" w:rsidTr="00B05712">
        <w:tc>
          <w:tcPr>
            <w:tcW w:w="1435" w:type="dxa"/>
          </w:tcPr>
          <w:p w:rsidR="000B6ADC" w:rsidRPr="000B6ADC" w:rsidRDefault="0011071A" w:rsidP="000B6ADC">
            <w:pPr>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m:oMathPara>
          </w:p>
        </w:tc>
        <w:tc>
          <w:tcPr>
            <w:tcW w:w="7627" w:type="dxa"/>
          </w:tcPr>
          <w:p w:rsidR="000B6ADC" w:rsidRPr="000B6ADC" w:rsidRDefault="000B6ADC" w:rsidP="000B6ADC">
            <w:pPr>
              <w:jc w:val="center"/>
              <w:rPr>
                <w:lang w:val="en-US"/>
              </w:rPr>
            </w:pPr>
            <w:r w:rsidRPr="000B6ADC">
              <w:rPr>
                <w:lang w:val="en-US"/>
              </w:rPr>
              <w:t>Fixed facility operation cost for facility</w:t>
            </w:r>
            <w:r>
              <w:rPr>
                <w:lang w:val="en-US"/>
              </w:rPr>
              <w:t xml:space="preserve"> </w:t>
            </w:r>
            <m:oMath>
              <m:r>
                <w:rPr>
                  <w:rFonts w:ascii="Cambria Math" w:hAnsi="Cambria Math"/>
                  <w:lang w:val="en-US"/>
                </w:rPr>
                <m:t>i</m:t>
              </m:r>
            </m:oMath>
            <w:r w:rsidR="008B60F1">
              <w:rPr>
                <w:rFonts w:eastAsiaTheme="minorEastAsia"/>
                <w:lang w:val="en-US"/>
              </w:rPr>
              <w:t xml:space="preserve"> (in </w:t>
            </w:r>
            <w:r w:rsidR="008B60F1">
              <w:rPr>
                <w:rFonts w:eastAsiaTheme="minorEastAsia" w:cstheme="minorHAnsi"/>
                <w:lang w:val="en-US"/>
              </w:rPr>
              <w:t>€</w:t>
            </w:r>
            <w:r w:rsidR="008B60F1">
              <w:rPr>
                <w:rFonts w:eastAsiaTheme="minorEastAsia"/>
                <w:lang w:val="en-US"/>
              </w:rPr>
              <w:t xml:space="preserve"> per year)</w:t>
            </w:r>
          </w:p>
        </w:tc>
      </w:tr>
      <w:tr w:rsidR="00520BCC" w:rsidRPr="00E85201" w:rsidTr="00B05712">
        <w:tc>
          <w:tcPr>
            <w:tcW w:w="1435" w:type="dxa"/>
          </w:tcPr>
          <w:p w:rsidR="00520BCC" w:rsidRPr="00694CFA" w:rsidRDefault="0011071A" w:rsidP="000B6ADC">
            <w:pPr>
              <w:jc w:val="cente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m:oMathPara>
          </w:p>
        </w:tc>
        <w:tc>
          <w:tcPr>
            <w:tcW w:w="7627" w:type="dxa"/>
          </w:tcPr>
          <w:p w:rsidR="00520BCC" w:rsidRPr="000B6ADC" w:rsidRDefault="00520BCC" w:rsidP="000B6ADC">
            <w:pPr>
              <w:jc w:val="center"/>
              <w:rPr>
                <w:lang w:val="en-US"/>
              </w:rPr>
            </w:pPr>
            <w:r w:rsidRPr="000B6ADC">
              <w:rPr>
                <w:lang w:val="en-US"/>
              </w:rPr>
              <w:t xml:space="preserve">Fixed </w:t>
            </w:r>
            <w:r>
              <w:rPr>
                <w:lang w:val="en-US"/>
              </w:rPr>
              <w:t>AM machine</w:t>
            </w:r>
            <w:r w:rsidRPr="000B6ADC">
              <w:rPr>
                <w:lang w:val="en-US"/>
              </w:rPr>
              <w:t xml:space="preserve"> operation cost for</w:t>
            </w:r>
            <w:r>
              <w:rPr>
                <w:lang w:val="en-US"/>
              </w:rPr>
              <w:t xml:space="preserve"> AM machine installed in</w:t>
            </w:r>
            <w:r w:rsidRPr="000B6ADC">
              <w:rPr>
                <w:lang w:val="en-US"/>
              </w:rPr>
              <w:t xml:space="preserve"> facility</w:t>
            </w:r>
            <w:r>
              <w:rPr>
                <w:lang w:val="en-US"/>
              </w:rPr>
              <w:t xml:space="preserve"> </w:t>
            </w:r>
            <m:oMath>
              <m:r>
                <w:rPr>
                  <w:rFonts w:ascii="Cambria Math" w:hAnsi="Cambria Math"/>
                  <w:lang w:val="en-US"/>
                </w:rPr>
                <m:t>i</m:t>
              </m:r>
            </m:oMath>
            <w:r>
              <w:rPr>
                <w:rFonts w:eastAsiaTheme="minorEastAsia"/>
                <w:lang w:val="en-US"/>
              </w:rPr>
              <w:t xml:space="preserve"> (in </w:t>
            </w:r>
            <w:r>
              <w:rPr>
                <w:rFonts w:eastAsiaTheme="minorEastAsia" w:cstheme="minorHAnsi"/>
                <w:lang w:val="en-US"/>
              </w:rPr>
              <w:t>€</w:t>
            </w:r>
            <w:r>
              <w:rPr>
                <w:rFonts w:eastAsiaTheme="minorEastAsia"/>
                <w:lang w:val="en-US"/>
              </w:rPr>
              <w:t xml:space="preserve"> per year)</w:t>
            </w:r>
          </w:p>
        </w:tc>
      </w:tr>
      <w:tr w:rsidR="000B6ADC" w:rsidRPr="00E85201" w:rsidTr="00B05712">
        <w:tc>
          <w:tcPr>
            <w:tcW w:w="1435" w:type="dxa"/>
          </w:tcPr>
          <w:p w:rsidR="000B6ADC" w:rsidRPr="000B6ADC" w:rsidRDefault="0011071A" w:rsidP="000B6ADC">
            <w:pPr>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oMath>
            </m:oMathPara>
          </w:p>
        </w:tc>
        <w:tc>
          <w:tcPr>
            <w:tcW w:w="7627" w:type="dxa"/>
          </w:tcPr>
          <w:p w:rsidR="000B6ADC" w:rsidRPr="000B6ADC" w:rsidRDefault="000B6ADC" w:rsidP="000B6ADC">
            <w:pPr>
              <w:jc w:val="center"/>
              <w:rPr>
                <w:lang w:val="en-US"/>
              </w:rPr>
            </w:pPr>
            <w:r>
              <w:rPr>
                <w:lang w:val="en-US"/>
              </w:rPr>
              <w:t>Unit inventory holding cost for</w:t>
            </w:r>
            <w:r w:rsidR="008B60F1">
              <w:rPr>
                <w:lang w:val="en-US"/>
              </w:rPr>
              <w:t xml:space="preserve"> the AM raw material at</w:t>
            </w:r>
            <w:r>
              <w:rPr>
                <w:lang w:val="en-US"/>
              </w:rPr>
              <w:t xml:space="preserve"> facility </w:t>
            </w:r>
            <m:oMath>
              <m:r>
                <w:rPr>
                  <w:rFonts w:ascii="Cambria Math" w:hAnsi="Cambria Math"/>
                  <w:lang w:val="en-US"/>
                </w:rPr>
                <m:t>i</m:t>
              </m:r>
            </m:oMath>
            <w:r>
              <w:rPr>
                <w:rFonts w:eastAsiaTheme="minorEastAsia"/>
                <w:lang w:val="en-US"/>
              </w:rPr>
              <w:t xml:space="preserve"> (in </w:t>
            </w:r>
            <w:r w:rsidR="008B60F1">
              <w:rPr>
                <w:rFonts w:eastAsiaTheme="minorEastAsia" w:cstheme="minorHAnsi"/>
                <w:lang w:val="en-US"/>
              </w:rPr>
              <w:t>€</w:t>
            </w:r>
            <w:r w:rsidR="008B60F1">
              <w:rPr>
                <w:rFonts w:eastAsiaTheme="minorEastAsia"/>
                <w:lang w:val="en-US"/>
              </w:rPr>
              <w:t xml:space="preserve"> per year)</w:t>
            </w:r>
          </w:p>
        </w:tc>
      </w:tr>
      <w:tr w:rsidR="000B6ADC" w:rsidRPr="00E85201" w:rsidTr="00B05712">
        <w:tc>
          <w:tcPr>
            <w:tcW w:w="1435" w:type="dxa"/>
          </w:tcPr>
          <w:p w:rsidR="000B6ADC" w:rsidRPr="008B60F1" w:rsidRDefault="0011071A" w:rsidP="000B6ADC">
            <w:pPr>
              <w:jc w:val="center"/>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oMath>
            </m:oMathPara>
          </w:p>
        </w:tc>
        <w:tc>
          <w:tcPr>
            <w:tcW w:w="7627" w:type="dxa"/>
          </w:tcPr>
          <w:p w:rsidR="000B6ADC" w:rsidRPr="000B6ADC" w:rsidRDefault="008B60F1" w:rsidP="000B6ADC">
            <w:pPr>
              <w:jc w:val="center"/>
              <w:rPr>
                <w:lang w:val="en-US"/>
              </w:rPr>
            </w:pPr>
            <w:r>
              <w:rPr>
                <w:lang w:val="en-US"/>
              </w:rPr>
              <w:t xml:space="preserve">Raw material replenishment lead time for facility </w:t>
            </w:r>
            <m:oMath>
              <m:r>
                <w:rPr>
                  <w:rFonts w:ascii="Cambria Math" w:hAnsi="Cambria Math"/>
                  <w:lang w:val="en-US"/>
                </w:rPr>
                <m:t>i</m:t>
              </m:r>
            </m:oMath>
            <w:r>
              <w:rPr>
                <w:rFonts w:eastAsiaTheme="minorEastAsia"/>
                <w:lang w:val="en-US"/>
              </w:rPr>
              <w:t xml:space="preserve"> (in years) (from an outside source to facility </w:t>
            </w:r>
            <m:oMath>
              <m:r>
                <w:rPr>
                  <w:rFonts w:ascii="Cambria Math" w:hAnsi="Cambria Math"/>
                  <w:lang w:val="en-US"/>
                </w:rPr>
                <m:t>i</m:t>
              </m:r>
            </m:oMath>
            <w:r>
              <w:rPr>
                <w:rFonts w:eastAsiaTheme="minorEastAsia"/>
                <w:lang w:val="en-US"/>
              </w:rPr>
              <w:t>)</w:t>
            </w:r>
          </w:p>
        </w:tc>
      </w:tr>
      <w:tr w:rsidR="000B6ADC" w:rsidRPr="00E85201" w:rsidTr="00B05712">
        <w:tc>
          <w:tcPr>
            <w:tcW w:w="1435" w:type="dxa"/>
          </w:tcPr>
          <w:p w:rsidR="000B6ADC" w:rsidRPr="000B6ADC" w:rsidRDefault="0011071A" w:rsidP="000B6ADC">
            <w:pPr>
              <w:jc w:val="cente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ijk</m:t>
                    </m:r>
                  </m:sub>
                </m:sSub>
              </m:oMath>
            </m:oMathPara>
          </w:p>
        </w:tc>
        <w:tc>
          <w:tcPr>
            <w:tcW w:w="7627" w:type="dxa"/>
          </w:tcPr>
          <w:p w:rsidR="000B6ADC" w:rsidRPr="000B6ADC" w:rsidRDefault="008B60F1" w:rsidP="000B6ADC">
            <w:pPr>
              <w:jc w:val="center"/>
              <w:rPr>
                <w:lang w:val="en-US"/>
              </w:rPr>
            </w:pPr>
            <w:r>
              <w:rPr>
                <w:lang w:val="en-US"/>
              </w:rPr>
              <w:t xml:space="preserve">Mean demand for customer </w:t>
            </w:r>
            <m:oMath>
              <m:r>
                <w:rPr>
                  <w:rFonts w:ascii="Cambria Math" w:hAnsi="Cambria Math"/>
                  <w:lang w:val="en-US"/>
                </w:rPr>
                <m:t>j</m:t>
              </m:r>
            </m:oMath>
            <w:r>
              <w:rPr>
                <w:rFonts w:eastAsiaTheme="minorEastAsia"/>
                <w:lang w:val="en-US"/>
              </w:rPr>
              <w:t xml:space="preserve"> with replacement condition </w:t>
            </w:r>
            <m:oMath>
              <m:r>
                <w:rPr>
                  <w:rFonts w:ascii="Cambria Math" w:eastAsiaTheme="minorEastAsia" w:hAnsi="Cambria Math"/>
                  <w:lang w:val="en-US"/>
                </w:rPr>
                <m:t>k</m:t>
              </m:r>
            </m:oMath>
            <w:r>
              <w:rPr>
                <w:rFonts w:eastAsiaTheme="minorEastAsia"/>
                <w:lang w:val="en-US"/>
              </w:rPr>
              <w:t xml:space="preserve"> when it is served by facility </w:t>
            </w:r>
            <m:oMath>
              <m:r>
                <w:rPr>
                  <w:rFonts w:ascii="Cambria Math" w:eastAsiaTheme="minorEastAsia" w:hAnsi="Cambria Math"/>
                  <w:lang w:val="en-US"/>
                </w:rPr>
                <m:t>i</m:t>
              </m:r>
            </m:oMath>
            <w:r>
              <w:rPr>
                <w:rFonts w:eastAsiaTheme="minorEastAsia"/>
                <w:lang w:val="en-US"/>
              </w:rPr>
              <w:t xml:space="preserve"> (in units per year)</w:t>
            </w:r>
          </w:p>
        </w:tc>
      </w:tr>
      <w:tr w:rsidR="000B6ADC" w:rsidRPr="00E85201" w:rsidTr="00B05712">
        <w:tc>
          <w:tcPr>
            <w:tcW w:w="1435" w:type="dxa"/>
          </w:tcPr>
          <w:p w:rsidR="000B6ADC" w:rsidRPr="000B6ADC" w:rsidRDefault="0011071A" w:rsidP="000B6ADC">
            <w:pPr>
              <w:jc w:val="center"/>
              <w:rPr>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ijk</m:t>
                    </m:r>
                  </m:sub>
                </m:sSub>
              </m:oMath>
            </m:oMathPara>
          </w:p>
        </w:tc>
        <w:tc>
          <w:tcPr>
            <w:tcW w:w="7627" w:type="dxa"/>
          </w:tcPr>
          <w:p w:rsidR="000B6ADC" w:rsidRPr="000B6ADC" w:rsidRDefault="008B60F1" w:rsidP="000B6ADC">
            <w:pPr>
              <w:jc w:val="center"/>
              <w:rPr>
                <w:lang w:val="en-US"/>
              </w:rPr>
            </w:pPr>
            <w:r>
              <w:rPr>
                <w:lang w:val="en-US"/>
              </w:rPr>
              <w:t xml:space="preserve">Standard deviation of demand for customer </w:t>
            </w:r>
            <m:oMath>
              <m:r>
                <w:rPr>
                  <w:rFonts w:ascii="Cambria Math" w:hAnsi="Cambria Math"/>
                  <w:lang w:val="en-US"/>
                </w:rPr>
                <m:t>j</m:t>
              </m:r>
            </m:oMath>
            <w:r>
              <w:rPr>
                <w:rFonts w:eastAsiaTheme="minorEastAsia"/>
                <w:lang w:val="en-US"/>
              </w:rPr>
              <w:t xml:space="preserve"> with replacement condition </w:t>
            </w:r>
            <m:oMath>
              <m:r>
                <w:rPr>
                  <w:rFonts w:ascii="Cambria Math" w:eastAsiaTheme="minorEastAsia" w:hAnsi="Cambria Math"/>
                  <w:lang w:val="en-US"/>
                </w:rPr>
                <m:t>k</m:t>
              </m:r>
            </m:oMath>
            <w:r>
              <w:rPr>
                <w:rFonts w:eastAsiaTheme="minorEastAsia"/>
                <w:lang w:val="en-US"/>
              </w:rPr>
              <w:t xml:space="preserve"> when it is served by facility </w:t>
            </w:r>
            <m:oMath>
              <m:r>
                <w:rPr>
                  <w:rFonts w:ascii="Cambria Math" w:eastAsiaTheme="minorEastAsia" w:hAnsi="Cambria Math"/>
                  <w:lang w:val="en-US"/>
                </w:rPr>
                <m:t>i</m:t>
              </m:r>
            </m:oMath>
            <w:r>
              <w:rPr>
                <w:rFonts w:eastAsiaTheme="minorEastAsia"/>
                <w:lang w:val="en-US"/>
              </w:rPr>
              <w:t xml:space="preserve"> (in units per year)</w:t>
            </w:r>
          </w:p>
        </w:tc>
      </w:tr>
      <w:tr w:rsidR="000B6ADC" w:rsidRPr="00E85201" w:rsidTr="00B05712">
        <w:tc>
          <w:tcPr>
            <w:tcW w:w="1435" w:type="dxa"/>
          </w:tcPr>
          <w:p w:rsidR="000B6ADC" w:rsidRPr="000B6ADC" w:rsidRDefault="0011071A" w:rsidP="000B6ADC">
            <w:pPr>
              <w:jc w:val="cente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ijk</m:t>
                    </m:r>
                  </m:sub>
                </m:sSub>
              </m:oMath>
            </m:oMathPara>
          </w:p>
        </w:tc>
        <w:tc>
          <w:tcPr>
            <w:tcW w:w="7627" w:type="dxa"/>
          </w:tcPr>
          <w:p w:rsidR="000B6ADC" w:rsidRPr="000B6ADC" w:rsidRDefault="008B60F1" w:rsidP="000B6ADC">
            <w:pPr>
              <w:jc w:val="center"/>
              <w:rPr>
                <w:lang w:val="en-US"/>
              </w:rPr>
            </w:pPr>
            <w:r>
              <w:rPr>
                <w:lang w:val="en-US"/>
              </w:rPr>
              <w:t xml:space="preserve">Cost of allocating customer </w:t>
            </w:r>
            <m:oMath>
              <m:r>
                <w:rPr>
                  <w:rFonts w:ascii="Cambria Math" w:hAnsi="Cambria Math"/>
                  <w:lang w:val="en-US"/>
                </w:rPr>
                <m:t>j</m:t>
              </m:r>
            </m:oMath>
            <w:r>
              <w:rPr>
                <w:rFonts w:eastAsiaTheme="minorEastAsia"/>
                <w:lang w:val="en-US"/>
              </w:rPr>
              <w:t xml:space="preserve"> with replacement condition </w:t>
            </w:r>
            <m:oMath>
              <m:r>
                <w:rPr>
                  <w:rFonts w:ascii="Cambria Math" w:eastAsiaTheme="minorEastAsia" w:hAnsi="Cambria Math"/>
                  <w:lang w:val="en-US"/>
                </w:rPr>
                <m:t>k</m:t>
              </m:r>
            </m:oMath>
            <w:r>
              <w:rPr>
                <w:rFonts w:eastAsiaTheme="minorEastAsia"/>
                <w:lang w:val="en-US"/>
              </w:rPr>
              <w:t xml:space="preserve"> when it is served by facility </w:t>
            </w:r>
            <m:oMath>
              <m:r>
                <w:rPr>
                  <w:rFonts w:ascii="Cambria Math" w:eastAsiaTheme="minorEastAsia" w:hAnsi="Cambria Math"/>
                  <w:lang w:val="en-US"/>
                </w:rPr>
                <m:t>i</m:t>
              </m:r>
            </m:oMath>
            <w:r>
              <w:rPr>
                <w:rFonts w:eastAsiaTheme="minorEastAsia"/>
                <w:lang w:val="en-US"/>
              </w:rPr>
              <w:t xml:space="preserve"> (in </w:t>
            </w:r>
            <w:r>
              <w:rPr>
                <w:rFonts w:eastAsiaTheme="minorEastAsia" w:cstheme="minorHAnsi"/>
                <w:lang w:val="en-US"/>
              </w:rPr>
              <w:t>€</w:t>
            </w:r>
            <w:r>
              <w:rPr>
                <w:rFonts w:eastAsiaTheme="minorEastAsia"/>
                <w:lang w:val="en-US"/>
              </w:rPr>
              <w:t xml:space="preserve"> per year) (assumed to include downtime, shipping and replacement costs)</w:t>
            </w:r>
          </w:p>
        </w:tc>
      </w:tr>
      <w:tr w:rsidR="000B6ADC" w:rsidRPr="00E85201" w:rsidTr="00B05712">
        <w:tc>
          <w:tcPr>
            <w:tcW w:w="1435" w:type="dxa"/>
          </w:tcPr>
          <w:p w:rsidR="000B6ADC" w:rsidRPr="000B6ADC" w:rsidRDefault="0011071A" w:rsidP="000B6ADC">
            <w:pPr>
              <w:jc w:val="center"/>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m:oMathPara>
          </w:p>
        </w:tc>
        <w:tc>
          <w:tcPr>
            <w:tcW w:w="7627" w:type="dxa"/>
          </w:tcPr>
          <w:p w:rsidR="000B6ADC" w:rsidRPr="000B6ADC" w:rsidRDefault="008B60F1" w:rsidP="000B6ADC">
            <w:pPr>
              <w:jc w:val="center"/>
              <w:rPr>
                <w:lang w:val="en-US"/>
              </w:rPr>
            </w:pPr>
            <m:oMath>
              <m:r>
                <w:rPr>
                  <w:rFonts w:ascii="Cambria Math" w:hAnsi="Cambria Math"/>
                  <w:lang w:val="en-US"/>
                </w:rPr>
                <m:t>α</m:t>
              </m:r>
            </m:oMath>
            <w:r>
              <w:rPr>
                <w:lang w:val="en-US"/>
              </w:rPr>
              <w:t xml:space="preserve"> fractile of the standard normal distribution, i.e., </w:t>
            </w:r>
            <m:oMath>
              <m:r>
                <m:rPr>
                  <m:sty m:val="p"/>
                </m:rPr>
                <w:rPr>
                  <w:rFonts w:ascii="Cambria Math" w:hAnsi="Cambria Math"/>
                  <w:lang w:val="en-US"/>
                </w:rPr>
                <m:t>Φ</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e>
              </m:d>
              <m:r>
                <w:rPr>
                  <w:rFonts w:ascii="Cambria Math" w:hAnsi="Cambria Math"/>
                  <w:lang w:val="en-US"/>
                </w:rPr>
                <m:t>=α</m:t>
              </m:r>
            </m:oMath>
          </w:p>
        </w:tc>
      </w:tr>
    </w:tbl>
    <w:p w:rsidR="000B6ADC" w:rsidRDefault="000B6ADC" w:rsidP="000B6ADC">
      <w:pPr>
        <w:rPr>
          <w:b/>
          <w:lang w:val="en-US"/>
        </w:rPr>
      </w:pPr>
    </w:p>
    <w:p w:rsidR="000B6ADC" w:rsidRDefault="000B6ADC" w:rsidP="000B6ADC">
      <w:pPr>
        <w:rPr>
          <w:b/>
          <w:lang w:val="en-US"/>
        </w:rPr>
      </w:pPr>
      <w:r>
        <w:rPr>
          <w:b/>
          <w:lang w:val="en-US"/>
        </w:rPr>
        <w:t>Decision variables</w:t>
      </w:r>
    </w:p>
    <w:tbl>
      <w:tblPr>
        <w:tblStyle w:val="TableGrid"/>
        <w:tblW w:w="0" w:type="auto"/>
        <w:tblLook w:val="04A0" w:firstRow="1" w:lastRow="0" w:firstColumn="1" w:lastColumn="0" w:noHBand="0" w:noVBand="1"/>
      </w:tblPr>
      <w:tblGrid>
        <w:gridCol w:w="1435"/>
        <w:gridCol w:w="7627"/>
      </w:tblGrid>
      <w:tr w:rsidR="00B05712" w:rsidRPr="00E85201" w:rsidTr="00520BCC">
        <w:tc>
          <w:tcPr>
            <w:tcW w:w="1435" w:type="dxa"/>
          </w:tcPr>
          <w:p w:rsidR="00B05712" w:rsidRDefault="0011071A" w:rsidP="00B05712">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oMath>
            </m:oMathPara>
          </w:p>
        </w:tc>
        <w:tc>
          <w:tcPr>
            <w:tcW w:w="7627" w:type="dxa"/>
          </w:tcPr>
          <w:p w:rsidR="00B05712" w:rsidRDefault="00B05712" w:rsidP="00B05712">
            <w:pPr>
              <w:jc w:val="center"/>
              <w:rPr>
                <w:lang w:val="en-US"/>
              </w:rPr>
            </w:pPr>
            <w:r>
              <w:rPr>
                <w:lang w:val="en-US"/>
              </w:rPr>
              <w:t xml:space="preserve">1 if facility </w:t>
            </w:r>
            <m:oMath>
              <m:r>
                <w:rPr>
                  <w:rFonts w:ascii="Cambria Math" w:hAnsi="Cambria Math"/>
                  <w:lang w:val="en-US"/>
                </w:rPr>
                <m:t>i</m:t>
              </m:r>
            </m:oMath>
            <w:r>
              <w:rPr>
                <w:rFonts w:eastAsiaTheme="minorEastAsia"/>
                <w:lang w:val="en-US"/>
              </w:rPr>
              <w:t xml:space="preserve"> prints and serves</w:t>
            </w:r>
            <w:r>
              <w:rPr>
                <w:lang w:val="en-US"/>
              </w:rPr>
              <w:t xml:space="preserve"> customer </w:t>
            </w:r>
            <m:oMath>
              <m:r>
                <w:rPr>
                  <w:rFonts w:ascii="Cambria Math" w:hAnsi="Cambria Math"/>
                  <w:lang w:val="en-US"/>
                </w:rPr>
                <m:t>j</m:t>
              </m:r>
            </m:oMath>
            <w:r>
              <w:rPr>
                <w:rFonts w:eastAsiaTheme="minorEastAsia"/>
                <w:lang w:val="en-US"/>
              </w:rPr>
              <w:t xml:space="preserve"> with replacement condition </w:t>
            </w:r>
            <m:oMath>
              <m:r>
                <w:rPr>
                  <w:rFonts w:ascii="Cambria Math" w:eastAsiaTheme="minorEastAsia" w:hAnsi="Cambria Math"/>
                  <w:lang w:val="en-US"/>
                </w:rPr>
                <m:t>k</m:t>
              </m:r>
            </m:oMath>
            <w:r>
              <w:rPr>
                <w:rFonts w:eastAsiaTheme="minorEastAsia"/>
                <w:lang w:val="en-US"/>
              </w:rPr>
              <w:t>, 0 otherwise</w:t>
            </w:r>
          </w:p>
        </w:tc>
      </w:tr>
      <w:tr w:rsidR="00B05712" w:rsidRPr="00E85201" w:rsidTr="00520BCC">
        <w:tc>
          <w:tcPr>
            <w:tcW w:w="1435" w:type="dxa"/>
          </w:tcPr>
          <w:p w:rsidR="00B05712" w:rsidRDefault="0011071A" w:rsidP="00B05712">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627" w:type="dxa"/>
          </w:tcPr>
          <w:p w:rsidR="00B05712" w:rsidRDefault="00B05712" w:rsidP="00B05712">
            <w:pPr>
              <w:jc w:val="center"/>
              <w:rPr>
                <w:lang w:val="en-US"/>
              </w:rPr>
            </w:pPr>
            <w:r>
              <w:rPr>
                <w:lang w:val="en-US"/>
              </w:rPr>
              <w:t xml:space="preserve">1 if facility </w:t>
            </w:r>
            <m:oMath>
              <m:r>
                <w:rPr>
                  <w:rFonts w:ascii="Cambria Math" w:hAnsi="Cambria Math"/>
                  <w:lang w:val="en-US"/>
                </w:rPr>
                <m:t>i</m:t>
              </m:r>
            </m:oMath>
            <w:r>
              <w:rPr>
                <w:rFonts w:eastAsiaTheme="minorEastAsia"/>
                <w:lang w:val="en-US"/>
              </w:rPr>
              <w:t xml:space="preserve"> is open, 0 otherwise</w:t>
            </w:r>
          </w:p>
        </w:tc>
      </w:tr>
      <w:tr w:rsidR="00B05712" w:rsidRPr="00E85201" w:rsidTr="00520BCC">
        <w:tc>
          <w:tcPr>
            <w:tcW w:w="1435" w:type="dxa"/>
          </w:tcPr>
          <w:p w:rsidR="00B05712" w:rsidRDefault="0011071A" w:rsidP="00B05712">
            <w:pPr>
              <w:jc w:val="cente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m:oMathPara>
          </w:p>
        </w:tc>
        <w:tc>
          <w:tcPr>
            <w:tcW w:w="7627" w:type="dxa"/>
          </w:tcPr>
          <w:p w:rsidR="00B05712" w:rsidRDefault="00B05712" w:rsidP="00B05712">
            <w:pPr>
              <w:jc w:val="center"/>
              <w:rPr>
                <w:lang w:val="en-US"/>
              </w:rPr>
            </w:pPr>
            <w:r>
              <w:rPr>
                <w:lang w:val="en-US"/>
              </w:rPr>
              <w:t xml:space="preserve">Raw material stock level for facility </w:t>
            </w:r>
            <m:oMath>
              <m:r>
                <w:rPr>
                  <w:rFonts w:ascii="Cambria Math" w:hAnsi="Cambria Math"/>
                  <w:lang w:val="en-US"/>
                </w:rPr>
                <m:t>i</m:t>
              </m:r>
            </m:oMath>
          </w:p>
        </w:tc>
      </w:tr>
      <w:tr w:rsidR="00B05712" w:rsidRPr="00E85201" w:rsidTr="00520BCC">
        <w:tc>
          <w:tcPr>
            <w:tcW w:w="1435" w:type="dxa"/>
          </w:tcPr>
          <w:p w:rsidR="00B05712" w:rsidRDefault="0011071A" w:rsidP="00B05712">
            <w:pPr>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tc>
        <w:tc>
          <w:tcPr>
            <w:tcW w:w="7627" w:type="dxa"/>
          </w:tcPr>
          <w:p w:rsidR="00B05712" w:rsidRDefault="00520BCC" w:rsidP="00B05712">
            <w:pPr>
              <w:jc w:val="center"/>
              <w:rPr>
                <w:lang w:val="en-US"/>
              </w:rPr>
            </w:pPr>
            <w:r>
              <w:rPr>
                <w:lang w:val="en-US"/>
              </w:rPr>
              <w:t>Standard deviation of total demand</w:t>
            </w:r>
            <w:r w:rsidR="00EB6651">
              <w:rPr>
                <w:lang w:val="en-US"/>
              </w:rPr>
              <w:t xml:space="preserve"> for facility </w:t>
            </w:r>
            <m:oMath>
              <m:r>
                <w:rPr>
                  <w:rFonts w:ascii="Cambria Math" w:hAnsi="Cambria Math"/>
                  <w:lang w:val="en-US"/>
                </w:rPr>
                <m:t>i</m:t>
              </m:r>
            </m:oMath>
          </w:p>
        </w:tc>
      </w:tr>
    </w:tbl>
    <w:p w:rsidR="00B05712" w:rsidRDefault="00B05712" w:rsidP="000B6ADC">
      <w:pPr>
        <w:rPr>
          <w:lang w:val="en-US"/>
        </w:rPr>
      </w:pPr>
    </w:p>
    <w:p w:rsidR="00520BCC" w:rsidRPr="00001570" w:rsidRDefault="0011071A" w:rsidP="000B6AD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x,y,s,v</m:t>
              </m:r>
            </m:sub>
          </m:sSub>
          <m:nary>
            <m:naryPr>
              <m:chr m:val="∑"/>
              <m:limLoc m:val="undOvr"/>
              <m:supHide m:val="1"/>
              <m:ctrlPr>
                <w:rPr>
                  <w:rFonts w:ascii="Cambria Math" w:hAnsi="Cambria Math"/>
                  <w:i/>
                  <w:lang w:val="en-US"/>
                </w:rPr>
              </m:ctrlPr>
            </m:naryPr>
            <m:sub>
              <m:r>
                <w:rPr>
                  <w:rFonts w:ascii="Cambria Math" w:hAnsi="Cambria Math"/>
                  <w:lang w:val="en-US"/>
                </w:rPr>
                <m:t>i∈I</m:t>
              </m: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i∈I</m:t>
              </m:r>
            </m:sub>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i∈I</m:t>
              </m:r>
            </m:sub>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i∈I</m:t>
              </m:r>
            </m:sub>
            <m:sup/>
            <m:e>
              <m:nary>
                <m:naryPr>
                  <m:chr m:val="∑"/>
                  <m:limLoc m:val="undOvr"/>
                  <m:supHide m:val="1"/>
                  <m:ctrlPr>
                    <w:rPr>
                      <w:rFonts w:ascii="Cambria Math" w:hAnsi="Cambria Math"/>
                      <w:i/>
                      <w:lang w:val="en-US"/>
                    </w:rPr>
                  </m:ctrlPr>
                </m:naryPr>
                <m:sub>
                  <m:r>
                    <w:rPr>
                      <w:rFonts w:ascii="Cambria Math" w:hAnsi="Cambria Math"/>
                      <w:lang w:val="en-US"/>
                    </w:rPr>
                    <m:t>j∈J</m:t>
                  </m:r>
                </m:sub>
                <m:sup/>
                <m:e>
                  <m:nary>
                    <m:naryPr>
                      <m:chr m:val="∑"/>
                      <m:limLoc m:val="undOvr"/>
                      <m:supHide m:val="1"/>
                      <m:ctrlPr>
                        <w:rPr>
                          <w:rFonts w:ascii="Cambria Math" w:hAnsi="Cambria Math"/>
                          <w:i/>
                          <w:lang w:val="en-US"/>
                        </w:rPr>
                      </m:ctrlPr>
                    </m:naryPr>
                    <m:sub>
                      <m:r>
                        <w:rPr>
                          <w:rFonts w:ascii="Cambria Math" w:hAnsi="Cambria Math"/>
                          <w:lang w:val="en-US"/>
                        </w:rPr>
                        <m:t>k∈K</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ijk</m:t>
                          </m:r>
                        </m:sub>
                      </m:sSub>
                      <m:r>
                        <w:rPr>
                          <w:rFonts w:ascii="Cambria Math" w:hAnsi="Cambria Math"/>
                          <w:lang w:val="en-US"/>
                        </w:rPr>
                        <m:t>∙</m:t>
                      </m:r>
                    </m:e>
                  </m:nary>
                </m:e>
              </m:nary>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oMath>
      </m:oMathPara>
    </w:p>
    <w:p w:rsidR="00001570" w:rsidRDefault="00001570" w:rsidP="000B6ADC">
      <w:pPr>
        <w:rPr>
          <w:lang w:val="en-US"/>
        </w:rPr>
      </w:pPr>
      <w:r>
        <w:rPr>
          <w:lang w:val="en-US"/>
        </w:rPr>
        <w:t>Subject to</w:t>
      </w:r>
    </w:p>
    <w:p w:rsidR="00001570" w:rsidRPr="00E85201" w:rsidRDefault="0011071A" w:rsidP="000B6ADC">
      <w:pPr>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i∈I</m:t>
              </m:r>
            </m:sub>
            <m:sup/>
            <m:e>
              <m:nary>
                <m:naryPr>
                  <m:chr m:val="∑"/>
                  <m:limLoc m:val="undOvr"/>
                  <m:supHide m:val="1"/>
                  <m:ctrlPr>
                    <w:rPr>
                      <w:rFonts w:ascii="Cambria Math" w:hAnsi="Cambria Math"/>
                      <w:i/>
                      <w:lang w:val="en-US"/>
                    </w:rPr>
                  </m:ctrlPr>
                </m:naryPr>
                <m:sub>
                  <m:r>
                    <w:rPr>
                      <w:rFonts w:ascii="Cambria Math" w:hAnsi="Cambria Math"/>
                      <w:lang w:val="en-US"/>
                    </w:rPr>
                    <m:t>k∈K</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r>
                <w:rPr>
                  <w:rFonts w:ascii="Cambria Math" w:hAnsi="Cambria Math"/>
                  <w:lang w:val="en-US"/>
                </w:rPr>
                <m:t>=1     ∀j∈J</m:t>
              </m:r>
            </m:e>
          </m:nary>
        </m:oMath>
      </m:oMathPara>
    </w:p>
    <w:p w:rsidR="00E85201" w:rsidRPr="00E85201" w:rsidRDefault="00E85201" w:rsidP="000B6AD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m:t>
          </m:r>
          <m:r>
            <w:rPr>
              <w:rFonts w:ascii="Cambria Math" w:hAnsi="Cambria Math"/>
              <w:lang w:val="en-US"/>
            </w:rPr>
            <m:t>i</m:t>
          </m:r>
          <m:r>
            <w:rPr>
              <w:rFonts w:ascii="Cambria Math" w:hAnsi="Cambria Math"/>
              <w:lang w:val="en-US"/>
            </w:rPr>
            <m:t>∈</m:t>
          </m:r>
          <m:r>
            <w:rPr>
              <w:rFonts w:ascii="Cambria Math" w:hAnsi="Cambria Math"/>
              <w:lang w:val="en-US"/>
            </w:rPr>
            <m:t xml:space="preserve">I, </m:t>
          </m:r>
          <m:r>
            <w:rPr>
              <w:rFonts w:ascii="Cambria Math" w:hAnsi="Cambria Math"/>
              <w:lang w:val="en-US"/>
            </w:rPr>
            <m:t>∀j∈J</m:t>
          </m:r>
          <m:r>
            <w:rPr>
              <w:rFonts w:ascii="Cambria Math" w:eastAsiaTheme="minorEastAsia" w:hAnsi="Cambria Math"/>
              <w:lang w:val="en-US"/>
            </w:rPr>
            <m:t>,</m:t>
          </m:r>
          <m:r>
            <w:rPr>
              <w:rFonts w:ascii="Cambria Math" w:hAnsi="Cambria Math"/>
              <w:lang w:val="en-US"/>
            </w:rPr>
            <m:t>∀</m:t>
          </m:r>
          <m:r>
            <w:rPr>
              <w:rFonts w:ascii="Cambria Math" w:hAnsi="Cambria Math"/>
              <w:lang w:val="en-US"/>
            </w:rPr>
            <m:t>k</m:t>
          </m:r>
          <m:r>
            <w:rPr>
              <w:rFonts w:ascii="Cambria Math" w:hAnsi="Cambria Math"/>
              <w:lang w:val="en-US"/>
            </w:rPr>
            <m:t>∈</m:t>
          </m:r>
          <m:r>
            <w:rPr>
              <w:rFonts w:ascii="Cambria Math" w:hAnsi="Cambria Math"/>
              <w:lang w:val="en-US"/>
            </w:rPr>
            <m:t>K</m:t>
          </m:r>
        </m:oMath>
      </m:oMathPara>
    </w:p>
    <w:p w:rsidR="00E85201" w:rsidRPr="00E85201" w:rsidRDefault="00E85201" w:rsidP="00E8520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r>
                <w:rPr>
                  <w:rFonts w:ascii="Cambria Math" w:hAnsi="Cambria Math"/>
                  <w:lang w:val="en-US"/>
                </w:rPr>
                <m:t>∈</m:t>
              </m:r>
              <m:r>
                <w:rPr>
                  <w:rFonts w:ascii="Cambria Math" w:hAnsi="Cambria Math"/>
                  <w:lang w:val="en-US"/>
                </w:rPr>
                <m:t>J</m:t>
              </m:r>
            </m:sub>
            <m:sup/>
            <m:e>
              <m:nary>
                <m:naryPr>
                  <m:chr m:val="∑"/>
                  <m:limLoc m:val="undOvr"/>
                  <m:supHide m:val="1"/>
                  <m:ctrlPr>
                    <w:rPr>
                      <w:rFonts w:ascii="Cambria Math" w:hAnsi="Cambria Math"/>
                      <w:i/>
                      <w:lang w:val="en-US"/>
                    </w:rPr>
                  </m:ctrlPr>
                </m:naryPr>
                <m:sub>
                  <m:r>
                    <w:rPr>
                      <w:rFonts w:ascii="Cambria Math" w:hAnsi="Cambria Math"/>
                      <w:lang w:val="en-US"/>
                    </w:rPr>
                    <m:t>k∈K</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r>
            <w:rPr>
              <w:rFonts w:ascii="Cambria Math" w:hAnsi="Cambria Math"/>
              <w:lang w:val="en-US"/>
            </w:rPr>
            <m:t xml:space="preserve">      </m:t>
          </m:r>
          <m:r>
            <w:rPr>
              <w:rFonts w:ascii="Cambria Math" w:hAnsi="Cambria Math"/>
              <w:lang w:val="en-US"/>
            </w:rPr>
            <m:t>∀</m:t>
          </m:r>
          <m:r>
            <w:rPr>
              <w:rFonts w:ascii="Cambria Math" w:hAnsi="Cambria Math"/>
              <w:lang w:val="en-US"/>
            </w:rPr>
            <m:t>i</m:t>
          </m:r>
          <m:r>
            <w:rPr>
              <w:rFonts w:ascii="Cambria Math" w:hAnsi="Cambria Math"/>
              <w:lang w:val="en-US"/>
            </w:rPr>
            <m:t>∈</m:t>
          </m:r>
          <m:r>
            <w:rPr>
              <w:rFonts w:ascii="Cambria Math" w:hAnsi="Cambria Math"/>
              <w:lang w:val="en-US"/>
            </w:rPr>
            <m:t>I</m:t>
          </m:r>
        </m:oMath>
      </m:oMathPara>
    </w:p>
    <w:p w:rsidR="00E85201" w:rsidRPr="00E85201" w:rsidRDefault="00E85201" w:rsidP="00E85201">
      <w:pPr>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j∈J</m:t>
              </m:r>
            </m:sub>
            <m:sup/>
            <m:e>
              <m:nary>
                <m:naryPr>
                  <m:chr m:val="∑"/>
                  <m:limLoc m:val="undOvr"/>
                  <m:supHide m:val="1"/>
                  <m:ctrlPr>
                    <w:rPr>
                      <w:rFonts w:ascii="Cambria Math" w:hAnsi="Cambria Math"/>
                      <w:i/>
                      <w:lang w:val="en-US"/>
                    </w:rPr>
                  </m:ctrlPr>
                </m:naryPr>
                <m:sub>
                  <m:r>
                    <w:rPr>
                      <w:rFonts w:ascii="Cambria Math" w:hAnsi="Cambria Math"/>
                      <w:lang w:val="en-US"/>
                    </w:rPr>
                    <m:t>k∈K</m:t>
                  </m:r>
                </m:sub>
                <m:sup/>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ijk</m:t>
                      </m:r>
                    </m:sub>
                    <m:sup>
                      <m:r>
                        <w:rPr>
                          <w:rFonts w:ascii="Cambria Math" w:hAnsi="Cambria Math"/>
                          <w:lang w:val="en-US"/>
                        </w:rPr>
                        <m:t>2</m:t>
                      </m:r>
                    </m:sup>
                  </m:sSubSup>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r>
                <w:rPr>
                  <w:rFonts w:ascii="Cambria Math" w:hAnsi="Cambria Math"/>
                  <w:lang w:val="en-US"/>
                </w:rPr>
                <m:t>∀i∈I</m:t>
              </m:r>
            </m:e>
          </m:nary>
        </m:oMath>
      </m:oMathPara>
    </w:p>
    <w:p w:rsidR="00E85201" w:rsidRPr="00E85201" w:rsidRDefault="00E85201" w:rsidP="00E8520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j∈J</m:t>
              </m:r>
            </m:sub>
            <m:sup/>
            <m:e>
              <m:nary>
                <m:naryPr>
                  <m:chr m:val="∑"/>
                  <m:limLoc m:val="undOvr"/>
                  <m:supHide m:val="1"/>
                  <m:ctrlPr>
                    <w:rPr>
                      <w:rFonts w:ascii="Cambria Math" w:hAnsi="Cambria Math"/>
                      <w:i/>
                      <w:lang w:val="en-US"/>
                    </w:rPr>
                  </m:ctrlPr>
                </m:naryPr>
                <m:sub>
                  <m:r>
                    <w:rPr>
                      <w:rFonts w:ascii="Cambria Math" w:hAnsi="Cambria Math"/>
                      <w:lang w:val="en-US"/>
                    </w:rPr>
                    <m:t>k∈K</m:t>
                  </m:r>
                </m:sub>
                <m:sup/>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rad>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eastAsiaTheme="minorEastAsia" w:hAnsi="Cambria Math"/>
              <w:lang w:val="en-US"/>
            </w:rPr>
            <m:t xml:space="preserve">       </m:t>
          </m:r>
          <m:r>
            <w:rPr>
              <w:rFonts w:ascii="Cambria Math" w:hAnsi="Cambria Math"/>
              <w:lang w:val="en-US"/>
            </w:rPr>
            <m:t>∀i∈I</m:t>
          </m:r>
        </m:oMath>
      </m:oMathPara>
    </w:p>
    <w:p w:rsidR="00E85201" w:rsidRPr="00E85201" w:rsidRDefault="00E85201" w:rsidP="00E8520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xml:space="preserve">     </m:t>
          </m:r>
          <m:r>
            <w:rPr>
              <w:rFonts w:ascii="Cambria Math" w:hAnsi="Cambria Math"/>
              <w:lang w:val="en-US"/>
            </w:rPr>
            <m:t>∀i∈I, ∀j∈J</m:t>
          </m:r>
          <m:r>
            <w:rPr>
              <w:rFonts w:ascii="Cambria Math" w:eastAsiaTheme="minorEastAsia" w:hAnsi="Cambria Math"/>
              <w:lang w:val="en-US"/>
            </w:rPr>
            <m:t>,</m:t>
          </m:r>
          <m:r>
            <w:rPr>
              <w:rFonts w:ascii="Cambria Math" w:hAnsi="Cambria Math"/>
              <w:lang w:val="en-US"/>
            </w:rPr>
            <m:t>∀k∈K</m:t>
          </m:r>
        </m:oMath>
      </m:oMathPara>
    </w:p>
    <w:p w:rsidR="00E85201" w:rsidRPr="00E85201" w:rsidRDefault="00E85201" w:rsidP="000B6AD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xml:space="preserve">     ∀i∈I</m:t>
          </m:r>
        </m:oMath>
      </m:oMathPara>
    </w:p>
    <w:p w:rsidR="0011071A" w:rsidRPr="00E85201" w:rsidRDefault="00E85201" w:rsidP="0011071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Z</m:t>
              </m:r>
            </m:e>
            <m:sub>
              <m:r>
                <w:rPr>
                  <w:rFonts w:ascii="Cambria Math" w:hAnsi="Cambria Math"/>
                  <w:lang w:val="en-US"/>
                </w:rPr>
                <m:t>≥0</m:t>
              </m:r>
            </m:sub>
          </m:sSub>
          <m:r>
            <w:rPr>
              <w:rFonts w:ascii="Cambria Math" w:hAnsi="Cambria Math"/>
              <w:lang w:val="en-US"/>
            </w:rPr>
            <m:t xml:space="preserve">      </m:t>
          </m:r>
          <m:r>
            <w:rPr>
              <w:rFonts w:ascii="Cambria Math" w:hAnsi="Cambria Math"/>
              <w:lang w:val="en-US"/>
            </w:rPr>
            <m:t>∀i∈I</m:t>
          </m:r>
        </m:oMath>
      </m:oMathPara>
    </w:p>
    <w:p w:rsidR="00E85201" w:rsidRPr="00001570" w:rsidRDefault="0011071A" w:rsidP="000B6AD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≥0      </m:t>
          </m:r>
          <m:r>
            <w:rPr>
              <w:rFonts w:ascii="Cambria Math" w:hAnsi="Cambria Math"/>
              <w:lang w:val="en-US"/>
            </w:rPr>
            <m:t>∀i∈I</m:t>
          </m:r>
        </m:oMath>
      </m:oMathPara>
      <w:bookmarkStart w:id="0" w:name="_GoBack"/>
      <w:bookmarkEnd w:id="0"/>
    </w:p>
    <w:p w:rsidR="00001570" w:rsidRPr="00B05712" w:rsidRDefault="00001570" w:rsidP="000B6ADC">
      <w:pPr>
        <w:rPr>
          <w:lang w:val="en-US"/>
        </w:rPr>
      </w:pPr>
    </w:p>
    <w:sectPr w:rsidR="00001570" w:rsidRPr="00B05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B2F"/>
    <w:multiLevelType w:val="hybridMultilevel"/>
    <w:tmpl w:val="535AF44E"/>
    <w:lvl w:ilvl="0" w:tplc="81760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3E"/>
    <w:rsid w:val="00001570"/>
    <w:rsid w:val="000B6ADC"/>
    <w:rsid w:val="0011071A"/>
    <w:rsid w:val="002811A6"/>
    <w:rsid w:val="00426D3E"/>
    <w:rsid w:val="00520BCC"/>
    <w:rsid w:val="008B60F1"/>
    <w:rsid w:val="00A90E91"/>
    <w:rsid w:val="00B05712"/>
    <w:rsid w:val="00E85201"/>
    <w:rsid w:val="00EB6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1982"/>
  <w15:chartTrackingRefBased/>
  <w15:docId w15:val="{93F239F8-E5CD-4955-A9DB-4E64F4E7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ADC"/>
    <w:pPr>
      <w:ind w:left="720"/>
      <w:contextualSpacing/>
    </w:pPr>
  </w:style>
  <w:style w:type="table" w:styleId="TableGrid">
    <w:name w:val="Table Grid"/>
    <w:basedOn w:val="TableNormal"/>
    <w:uiPriority w:val="39"/>
    <w:rsid w:val="000B6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6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6</cp:revision>
  <dcterms:created xsi:type="dcterms:W3CDTF">2023-09-27T11:25:00Z</dcterms:created>
  <dcterms:modified xsi:type="dcterms:W3CDTF">2023-09-27T15:57:00Z</dcterms:modified>
</cp:coreProperties>
</file>