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FEA7" w14:textId="77777777" w:rsidR="009036B9" w:rsidRDefault="00AB3239">
      <w:pPr>
        <w:pStyle w:val="Heading1"/>
        <w:spacing w:before="56"/>
      </w:pPr>
      <w:r>
        <w:t>What is a Risk Register?</w:t>
      </w:r>
    </w:p>
    <w:p w14:paraId="37D1332C" w14:textId="77777777" w:rsidR="009036B9" w:rsidRDefault="009036B9">
      <w:pPr>
        <w:pStyle w:val="BodyText"/>
        <w:ind w:left="0"/>
        <w:rPr>
          <w:b/>
        </w:rPr>
      </w:pPr>
    </w:p>
    <w:p w14:paraId="6FA4E50A" w14:textId="77777777" w:rsidR="009036B9" w:rsidRDefault="00AB3239">
      <w:pPr>
        <w:pStyle w:val="BodyText"/>
        <w:spacing w:before="1"/>
        <w:ind w:left="100" w:right="693"/>
      </w:pPr>
      <w:r>
        <w:t>Very simply, it is a documented response to “What could occur that would stand in the way of successfully</w:t>
      </w:r>
      <w:r>
        <w:t xml:space="preserve"> achieving the goals and objectives of my activity?”</w:t>
      </w:r>
    </w:p>
    <w:p w14:paraId="23F3AA78" w14:textId="77777777" w:rsidR="009036B9" w:rsidRDefault="009036B9">
      <w:pPr>
        <w:pStyle w:val="BodyText"/>
        <w:ind w:left="0"/>
      </w:pPr>
    </w:p>
    <w:p w14:paraId="55DF7E8E" w14:textId="7DA2E9D8" w:rsidR="009036B9" w:rsidRDefault="00AB3239">
      <w:pPr>
        <w:pStyle w:val="BodyText"/>
        <w:ind w:left="100" w:right="160"/>
      </w:pPr>
      <w:r>
        <w:t xml:space="preserve">The risk appetite for each activity needs to be determined. </w:t>
      </w:r>
      <w:r w:rsidR="00EF2DF4">
        <w:t>R</w:t>
      </w:r>
      <w:r>
        <w:t xml:space="preserve">isk appetite </w:t>
      </w:r>
      <w:r>
        <w:t xml:space="preserve">defines </w:t>
      </w:r>
      <w:r w:rsidR="00EF2DF4">
        <w:t>the organization’s</w:t>
      </w:r>
      <w:r>
        <w:t xml:space="preserve"> preparedness to accept and manage risk on any given activity. </w:t>
      </w:r>
      <w:r w:rsidR="00EF2DF4">
        <w:t>Risks</w:t>
      </w:r>
      <w:r>
        <w:t xml:space="preserve"> may fall into one of three categories</w:t>
      </w:r>
      <w:r w:rsidR="00EF2DF4">
        <w:t>:</w:t>
      </w:r>
    </w:p>
    <w:p w14:paraId="7A06F9EE" w14:textId="77777777" w:rsidR="009036B9" w:rsidRDefault="009036B9">
      <w:pPr>
        <w:pStyle w:val="BodyText"/>
        <w:ind w:left="0"/>
      </w:pPr>
    </w:p>
    <w:p w14:paraId="78AF1253" w14:textId="77777777" w:rsidR="009036B9" w:rsidRDefault="00AB3239">
      <w:pPr>
        <w:pStyle w:val="ListParagraph"/>
        <w:numPr>
          <w:ilvl w:val="0"/>
          <w:numId w:val="3"/>
        </w:numPr>
        <w:tabs>
          <w:tab w:val="left" w:pos="821"/>
        </w:tabs>
      </w:pPr>
      <w:r>
        <w:t>Risk elements which are deemed to have a low risk and do not need to be</w:t>
      </w:r>
      <w:r>
        <w:rPr>
          <w:spacing w:val="-12"/>
        </w:rPr>
        <w:t xml:space="preserve"> </w:t>
      </w:r>
      <w:r>
        <w:t>managed</w:t>
      </w:r>
    </w:p>
    <w:p w14:paraId="6F5EE586" w14:textId="77777777" w:rsidR="009036B9" w:rsidRDefault="00AB3239">
      <w:pPr>
        <w:pStyle w:val="ListParagraph"/>
        <w:numPr>
          <w:ilvl w:val="0"/>
          <w:numId w:val="3"/>
        </w:numPr>
        <w:tabs>
          <w:tab w:val="left" w:pos="821"/>
        </w:tabs>
      </w:pPr>
      <w:r>
        <w:t>Risk elements that have a medium or high risk and will need to be</w:t>
      </w:r>
      <w:r>
        <w:rPr>
          <w:spacing w:val="-12"/>
        </w:rPr>
        <w:t xml:space="preserve"> </w:t>
      </w:r>
      <w:r>
        <w:t>managed</w:t>
      </w:r>
    </w:p>
    <w:p w14:paraId="26982AC3" w14:textId="77777777" w:rsidR="009036B9" w:rsidRDefault="00AB3239">
      <w:pPr>
        <w:pStyle w:val="ListParagraph"/>
        <w:numPr>
          <w:ilvl w:val="0"/>
          <w:numId w:val="3"/>
        </w:numPr>
        <w:tabs>
          <w:tab w:val="left" w:pos="821"/>
        </w:tabs>
        <w:ind w:right="465"/>
      </w:pPr>
      <w:r>
        <w:t>Risk el</w:t>
      </w:r>
      <w:r>
        <w:t>ements which have an extreme risk and therefore the activity should probably not proceed.</w:t>
      </w:r>
    </w:p>
    <w:p w14:paraId="36AD2FAA" w14:textId="77777777" w:rsidR="009036B9" w:rsidRDefault="009036B9">
      <w:pPr>
        <w:pStyle w:val="BodyText"/>
        <w:spacing w:before="1"/>
        <w:ind w:left="0"/>
      </w:pPr>
    </w:p>
    <w:p w14:paraId="2D0A68C5" w14:textId="3E5AE52B" w:rsidR="009036B9" w:rsidRDefault="00AB3239">
      <w:pPr>
        <w:pStyle w:val="BodyText"/>
        <w:ind w:left="100" w:right="92"/>
      </w:pPr>
      <w:r>
        <w:t xml:space="preserve">The </w:t>
      </w:r>
      <w:r>
        <w:rPr>
          <w:i/>
        </w:rPr>
        <w:t xml:space="preserve">Risk Register </w:t>
      </w:r>
      <w:r>
        <w:t xml:space="preserve">records details of all the risks identified for the activity and the </w:t>
      </w:r>
      <w:r w:rsidR="00EF2DF4">
        <w:t>organization</w:t>
      </w:r>
      <w:r>
        <w:t xml:space="preserve">. Risks associated with activities and strategies are identified </w:t>
      </w:r>
      <w:r w:rsidR="00EF2DF4">
        <w:t>and</w:t>
      </w:r>
      <w:r>
        <w:t xml:space="preserve"> graded in terms of likelihood of occurring and seriousness of impact.</w:t>
      </w:r>
    </w:p>
    <w:p w14:paraId="03622982" w14:textId="77777777" w:rsidR="009036B9" w:rsidRDefault="009036B9">
      <w:pPr>
        <w:pStyle w:val="BodyText"/>
        <w:spacing w:before="1"/>
        <w:ind w:left="0"/>
      </w:pPr>
    </w:p>
    <w:p w14:paraId="67DF0ED4" w14:textId="10E1D10D" w:rsidR="009036B9" w:rsidRDefault="00AB3239">
      <w:pPr>
        <w:pStyle w:val="BodyText"/>
        <w:spacing w:line="268" w:lineRule="exact"/>
        <w:ind w:left="100"/>
      </w:pPr>
      <w:r>
        <w:t xml:space="preserve">Risk registers should </w:t>
      </w:r>
      <w:r w:rsidR="00EF2DF4">
        <w:t>include</w:t>
      </w:r>
      <w:r>
        <w:t>:</w:t>
      </w:r>
    </w:p>
    <w:p w14:paraId="421DA5C8" w14:textId="77777777" w:rsidR="00EF2DF4" w:rsidRDefault="00EF2DF4">
      <w:pPr>
        <w:pStyle w:val="BodyText"/>
        <w:spacing w:line="268" w:lineRule="exact"/>
        <w:ind w:left="100"/>
      </w:pPr>
    </w:p>
    <w:p w14:paraId="398ABA2E" w14:textId="040F6A43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ID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Unique reference number for tracking purposes</w:t>
      </w:r>
    </w:p>
    <w:p w14:paraId="1A153701" w14:textId="5E6C3A0B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Name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Brief description of the risk</w:t>
      </w:r>
    </w:p>
    <w:p w14:paraId="0370D7DE" w14:textId="78FBB08D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Category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Assigns the risk to a category which helps with grouping</w:t>
      </w:r>
    </w:p>
    <w:p w14:paraId="1B162137" w14:textId="58431516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Likelihood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Estimation of how likely risk will occur measured in qualitative terms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e.g.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p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ossible and/or quantitative terms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60%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</w:p>
    <w:p w14:paraId="3B04EBFC" w14:textId="6E570918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Consequence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Estimation of the risk impact measured in qualitative terms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e.g.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Severe and/or quantitative terms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 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money, lost time hours, production downtime etc.</w:t>
      </w:r>
    </w:p>
    <w:p w14:paraId="46DDF472" w14:textId="0DBB17D9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Rating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– Combination of likelihood and consequence results in an overall measure of the risk expressed in qualitative terms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High, Medium or Low</w:t>
      </w:r>
    </w:p>
    <w:p w14:paraId="4BF78158" w14:textId="194DC2D6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Level or Score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Combination of likelihood and consequence results in an overall measure of the risk expressed in quantitative terms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 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 numeric score</w:t>
      </w:r>
    </w:p>
    <w:p w14:paraId="7129F531" w14:textId="69CAEC07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Control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Description of any controls in place to prevent/detect/mitigate risk</w:t>
      </w:r>
    </w:p>
    <w:p w14:paraId="71B04C0A" w14:textId="2840903C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Treatment Plan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Outlines the actions carried out/to be undertaken to deal with or treat the risk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 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insurance extensions, additional controls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etc.</w:t>
      </w:r>
    </w:p>
    <w:p w14:paraId="13620390" w14:textId="4FEA1640" w:rsidR="000C77B1" w:rsidRPr="0017532F" w:rsidRDefault="000C77B1" w:rsidP="000C77B1">
      <w:pPr>
        <w:pStyle w:val="font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32F">
        <w:rPr>
          <w:rFonts w:asciiTheme="minorHAnsi" w:hAnsiTheme="minorHAnsi" w:cstheme="minorHAnsi"/>
          <w:iCs/>
          <w:sz w:val="22"/>
          <w:szCs w:val="22"/>
          <w:bdr w:val="none" w:sz="0" w:space="0" w:color="auto" w:frame="1"/>
        </w:rPr>
        <w:t>Risk Tolerance</w:t>
      </w:r>
      <w:r w:rsidRPr="0017532F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– Provides an indication of whether the risk is acceptable or needs further work</w:t>
      </w:r>
    </w:p>
    <w:p w14:paraId="31E342F4" w14:textId="77777777" w:rsidR="009036B9" w:rsidRDefault="009036B9">
      <w:pPr>
        <w:pStyle w:val="BodyText"/>
        <w:ind w:left="0"/>
      </w:pPr>
    </w:p>
    <w:p w14:paraId="45BE0C38" w14:textId="77777777" w:rsidR="000C77B1" w:rsidRDefault="000C77B1">
      <w:pPr>
        <w:rPr>
          <w:b/>
          <w:bCs/>
        </w:rPr>
      </w:pPr>
      <w:r>
        <w:br w:type="page"/>
      </w:r>
    </w:p>
    <w:p w14:paraId="400EE097" w14:textId="626487E3" w:rsidR="009036B9" w:rsidRDefault="00AB3239">
      <w:pPr>
        <w:pStyle w:val="Heading1"/>
      </w:pPr>
      <w:bookmarkStart w:id="0" w:name="_GoBack"/>
      <w:bookmarkEnd w:id="0"/>
      <w:r>
        <w:lastRenderedPageBreak/>
        <w:t>Risk Registers</w:t>
      </w:r>
    </w:p>
    <w:p w14:paraId="15CAC618" w14:textId="77777777" w:rsidR="009036B9" w:rsidRDefault="009036B9">
      <w:pPr>
        <w:pStyle w:val="BodyText"/>
        <w:spacing w:before="1"/>
        <w:ind w:left="0"/>
        <w:rPr>
          <w:b/>
        </w:rPr>
      </w:pPr>
    </w:p>
    <w:p w14:paraId="4BBA6951" w14:textId="1FE70CA3" w:rsidR="009036B9" w:rsidRDefault="00AB3239" w:rsidP="00EF2DF4">
      <w:pPr>
        <w:pStyle w:val="BodyText"/>
        <w:ind w:left="100" w:right="116"/>
      </w:pPr>
      <w:r>
        <w:t xml:space="preserve">The </w:t>
      </w:r>
      <w:r w:rsidRPr="00EF2DF4">
        <w:t>risk r</w:t>
      </w:r>
      <w:r w:rsidRPr="00EF2DF4">
        <w:t>e</w:t>
      </w:r>
      <w:r w:rsidRPr="00EF2DF4">
        <w:t xml:space="preserve">gister </w:t>
      </w:r>
      <w:r>
        <w:t xml:space="preserve">consists of some headings and a table that reflects the nature of the information that is to be addressed. </w:t>
      </w:r>
      <w:r>
        <w:t>Where risk management action plans are required to be comprehensive it may be appropriate to supplement the applicable risk register entry with a separate, supporting risk mitigation or action</w:t>
      </w:r>
      <w:r>
        <w:rPr>
          <w:spacing w:val="-5"/>
        </w:rPr>
        <w:t xml:space="preserve"> </w:t>
      </w:r>
      <w:r>
        <w:t>plan.</w:t>
      </w:r>
      <w:r w:rsidR="00EF2DF4">
        <w:t xml:space="preserve"> </w:t>
      </w:r>
      <w:r>
        <w:t xml:space="preserve">The completed risk register should be brief and to the point, so it quickly conveys the essential information. </w:t>
      </w:r>
    </w:p>
    <w:p w14:paraId="49671D8B" w14:textId="77777777" w:rsidR="009036B9" w:rsidRDefault="009036B9">
      <w:pPr>
        <w:pStyle w:val="BodyText"/>
        <w:ind w:left="0"/>
      </w:pPr>
    </w:p>
    <w:p w14:paraId="13E54487" w14:textId="77777777" w:rsidR="009036B9" w:rsidRDefault="00AB3239">
      <w:pPr>
        <w:pStyle w:val="Heading1"/>
      </w:pPr>
      <w:r>
        <w:t>Steps to complete the register:</w:t>
      </w:r>
    </w:p>
    <w:p w14:paraId="5D829927" w14:textId="77777777" w:rsidR="009036B9" w:rsidRDefault="009036B9">
      <w:pPr>
        <w:pStyle w:val="BodyText"/>
        <w:spacing w:before="1"/>
        <w:ind w:left="0"/>
        <w:rPr>
          <w:b/>
        </w:rPr>
      </w:pPr>
    </w:p>
    <w:p w14:paraId="763A4A27" w14:textId="69BDC9AA" w:rsidR="009036B9" w:rsidRDefault="00AB3239">
      <w:pPr>
        <w:pStyle w:val="ListParagraph"/>
        <w:numPr>
          <w:ilvl w:val="0"/>
          <w:numId w:val="1"/>
        </w:numPr>
        <w:tabs>
          <w:tab w:val="left" w:pos="821"/>
        </w:tabs>
      </w:pPr>
      <w:r>
        <w:t>Identify potential risks</w:t>
      </w:r>
    </w:p>
    <w:p w14:paraId="353BA3F8" w14:textId="77777777" w:rsidR="009036B9" w:rsidRDefault="00AB3239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</w:pPr>
      <w:r>
        <w:t>Identify the consequences to the activity if the risk were to</w:t>
      </w:r>
      <w:r>
        <w:rPr>
          <w:spacing w:val="-5"/>
        </w:rPr>
        <w:t xml:space="preserve"> </w:t>
      </w:r>
      <w:r>
        <w:t>materialize</w:t>
      </w:r>
    </w:p>
    <w:p w14:paraId="4C0E26DA" w14:textId="44E05F33" w:rsidR="009036B9" w:rsidRDefault="00AB3239">
      <w:pPr>
        <w:pStyle w:val="ListParagraph"/>
        <w:numPr>
          <w:ilvl w:val="0"/>
          <w:numId w:val="1"/>
        </w:numPr>
        <w:tabs>
          <w:tab w:val="left" w:pos="821"/>
        </w:tabs>
        <w:ind w:right="383"/>
      </w:pPr>
      <w:r>
        <w:t>Identify the likelihood and probability that the risk would result in adverse consequences</w:t>
      </w:r>
    </w:p>
    <w:p w14:paraId="55F55728" w14:textId="6EB101AA" w:rsidR="009036B9" w:rsidRDefault="00AB3239">
      <w:pPr>
        <w:pStyle w:val="ListParagraph"/>
        <w:numPr>
          <w:ilvl w:val="0"/>
          <w:numId w:val="1"/>
        </w:numPr>
        <w:tabs>
          <w:tab w:val="left" w:pos="821"/>
        </w:tabs>
        <w:ind w:right="201"/>
      </w:pPr>
      <w:r>
        <w:t>For those risks</w:t>
      </w:r>
      <w:r>
        <w:t xml:space="preserve"> that have been ranked as </w:t>
      </w:r>
      <w:r>
        <w:rPr>
          <w:b/>
        </w:rPr>
        <w:t>medium</w:t>
      </w:r>
      <w:r w:rsidR="000C77B1">
        <w:rPr>
          <w:b/>
        </w:rPr>
        <w:t xml:space="preserve"> or</w:t>
      </w:r>
      <w:r>
        <w:rPr>
          <w:b/>
        </w:rPr>
        <w:t xml:space="preserve"> high</w:t>
      </w:r>
      <w:r>
        <w:t>, address with mitigating actions</w:t>
      </w:r>
    </w:p>
    <w:p w14:paraId="2C33FD57" w14:textId="1799C44E" w:rsidR="009036B9" w:rsidRDefault="00AB3239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Identify if there are any controls currently in place to mitigate those</w:t>
      </w:r>
      <w:r>
        <w:rPr>
          <w:spacing w:val="-13"/>
        </w:rPr>
        <w:t xml:space="preserve"> </w:t>
      </w:r>
      <w:r>
        <w:t>risk</w:t>
      </w:r>
      <w:r w:rsidR="000C77B1">
        <w:t>s</w:t>
      </w:r>
    </w:p>
    <w:p w14:paraId="618AD030" w14:textId="7001CEE4" w:rsidR="009036B9" w:rsidRDefault="000C77B1">
      <w:pPr>
        <w:pStyle w:val="ListParagraph"/>
        <w:numPr>
          <w:ilvl w:val="0"/>
          <w:numId w:val="1"/>
        </w:numPr>
        <w:tabs>
          <w:tab w:val="left" w:pos="821"/>
        </w:tabs>
      </w:pPr>
      <w:r>
        <w:t>D</w:t>
      </w:r>
      <w:r w:rsidR="00AB3239">
        <w:t xml:space="preserve">evelop and document </w:t>
      </w:r>
      <w:r>
        <w:t>r</w:t>
      </w:r>
      <w:r w:rsidR="00AB3239">
        <w:t>isk mitigation actions. These could</w:t>
      </w:r>
      <w:r w:rsidR="00AB3239">
        <w:rPr>
          <w:spacing w:val="-11"/>
        </w:rPr>
        <w:t xml:space="preserve"> </w:t>
      </w:r>
      <w:r w:rsidR="00AB3239">
        <w:t>include:</w:t>
      </w:r>
    </w:p>
    <w:p w14:paraId="2561BC9F" w14:textId="77777777" w:rsidR="009036B9" w:rsidRDefault="00AB323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 w:line="237" w:lineRule="auto"/>
        <w:ind w:right="504"/>
      </w:pPr>
      <w:r>
        <w:t>Planned actions to reduce the likelihood a negative risk will occur an</w:t>
      </w:r>
      <w:r>
        <w:t>d/or reduce the seriousness should it occur (What should you do</w:t>
      </w:r>
      <w:r>
        <w:rPr>
          <w:spacing w:val="-11"/>
        </w:rPr>
        <w:t xml:space="preserve"> </w:t>
      </w:r>
      <w:r>
        <w:t>now?)</w:t>
      </w:r>
    </w:p>
    <w:p w14:paraId="318DEAEA" w14:textId="77777777" w:rsidR="009036B9" w:rsidRDefault="00AB323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right="889"/>
      </w:pPr>
      <w:r>
        <w:t>Contingency actions - planned actions to reduce the immediate seriousness of a negative risk when it does occur. (What should you do</w:t>
      </w:r>
      <w:r>
        <w:rPr>
          <w:spacing w:val="-10"/>
        </w:rPr>
        <w:t xml:space="preserve"> </w:t>
      </w:r>
      <w:r>
        <w:t>when?)</w:t>
      </w:r>
    </w:p>
    <w:p w14:paraId="2C79F3F7" w14:textId="77777777" w:rsidR="009036B9" w:rsidRDefault="00AB323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right="199"/>
      </w:pPr>
      <w:r>
        <w:t>Recovery actions - planned actions taken once a negative risk has occurred to allow you to move on. (What should you do</w:t>
      </w:r>
      <w:r>
        <w:rPr>
          <w:spacing w:val="-11"/>
        </w:rPr>
        <w:t xml:space="preserve"> </w:t>
      </w:r>
      <w:r>
        <w:t>after?)</w:t>
      </w:r>
    </w:p>
    <w:p w14:paraId="5D912637" w14:textId="5393B499" w:rsidR="009036B9" w:rsidRDefault="00AB323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279" w:lineRule="exact"/>
      </w:pPr>
      <w:r>
        <w:t xml:space="preserve">Risk Transfer </w:t>
      </w:r>
      <w:r w:rsidR="000C77B1">
        <w:t>(</w:t>
      </w:r>
      <w:r>
        <w:t>insurance</w:t>
      </w:r>
      <w:r w:rsidR="000C77B1">
        <w:t>)</w:t>
      </w:r>
    </w:p>
    <w:p w14:paraId="6484383B" w14:textId="5EA9D242" w:rsidR="000C77B1" w:rsidRDefault="000C77B1" w:rsidP="000C77B1">
      <w:pPr>
        <w:tabs>
          <w:tab w:val="left" w:pos="1180"/>
          <w:tab w:val="left" w:pos="1181"/>
        </w:tabs>
        <w:spacing w:before="1" w:line="279" w:lineRule="exact"/>
      </w:pPr>
    </w:p>
    <w:p w14:paraId="33F42065" w14:textId="378B842E" w:rsidR="000C77B1" w:rsidRDefault="000C77B1" w:rsidP="000C77B1">
      <w:pPr>
        <w:tabs>
          <w:tab w:val="left" w:pos="1180"/>
          <w:tab w:val="left" w:pos="1181"/>
        </w:tabs>
        <w:spacing w:before="1" w:line="279" w:lineRule="exact"/>
      </w:pPr>
    </w:p>
    <w:p w14:paraId="7E5AA91B" w14:textId="77777777" w:rsidR="000C77B1" w:rsidRDefault="000C77B1" w:rsidP="000C77B1">
      <w:pPr>
        <w:tabs>
          <w:tab w:val="left" w:pos="1180"/>
          <w:tab w:val="left" w:pos="1181"/>
        </w:tabs>
        <w:spacing w:before="1" w:line="279" w:lineRule="exact"/>
      </w:pPr>
    </w:p>
    <w:sectPr w:rsidR="000C77B1">
      <w:footerReference w:type="default" r:id="rId7"/>
      <w:pgSz w:w="11910" w:h="16840"/>
      <w:pgMar w:top="1340" w:right="1360" w:bottom="660" w:left="1340" w:header="531" w:footer="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453C" w14:textId="77777777" w:rsidR="00AB3239" w:rsidRDefault="00AB3239">
      <w:r>
        <w:separator/>
      </w:r>
    </w:p>
  </w:endnote>
  <w:endnote w:type="continuationSeparator" w:id="0">
    <w:p w14:paraId="68B12671" w14:textId="77777777" w:rsidR="00AB3239" w:rsidRDefault="00AB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CBFBE" w14:textId="77777777" w:rsidR="009036B9" w:rsidRDefault="00AB3239">
    <w:pPr>
      <w:pStyle w:val="BodyText"/>
      <w:spacing w:line="14" w:lineRule="auto"/>
      <w:ind w:left="0"/>
      <w:rPr>
        <w:sz w:val="20"/>
      </w:rPr>
    </w:pPr>
    <w:r>
      <w:pict w14:anchorId="3CC8D750">
        <v:line id="_x0000_s2050" style="position:absolute;z-index:-3784;mso-position-horizontal-relative:page;mso-position-vertical-relative:page" from="70.6pt,804.6pt" to="524.9pt,804.6pt" strokeweight=".16936mm">
          <w10:wrap anchorx="page" anchory="page"/>
        </v:line>
      </w:pict>
    </w:r>
    <w:r>
      <w:pict w14:anchorId="7FF8DA8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3.1pt;margin-top:806.95pt;width:51.45pt;height:13.05pt;z-index:-3760;mso-position-horizontal-relative:page;mso-position-vertical-relative:page" filled="f" stroked="f">
          <v:textbox inset="0,0,0,0">
            <w:txbxContent>
              <w:p w14:paraId="036F6D98" w14:textId="77777777" w:rsidR="009036B9" w:rsidRDefault="00AB3239">
                <w:pPr>
                  <w:pStyle w:val="BodyText"/>
                  <w:spacing w:line="245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28F8" w14:textId="77777777" w:rsidR="00AB3239" w:rsidRDefault="00AB3239">
      <w:r>
        <w:separator/>
      </w:r>
    </w:p>
  </w:footnote>
  <w:footnote w:type="continuationSeparator" w:id="0">
    <w:p w14:paraId="2353C561" w14:textId="77777777" w:rsidR="00AB3239" w:rsidRDefault="00AB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688E"/>
    <w:multiLevelType w:val="hybridMultilevel"/>
    <w:tmpl w:val="C18A46C2"/>
    <w:lvl w:ilvl="0" w:tplc="E320EA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C83A0B8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9CAD2E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3" w:tplc="0CFC96D2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en-US"/>
      </w:rPr>
    </w:lvl>
    <w:lvl w:ilvl="4" w:tplc="97062DD6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en-US"/>
      </w:rPr>
    </w:lvl>
    <w:lvl w:ilvl="5" w:tplc="D2BE61D8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en-US"/>
      </w:rPr>
    </w:lvl>
    <w:lvl w:ilvl="6" w:tplc="F416B3A4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en-US"/>
      </w:rPr>
    </w:lvl>
    <w:lvl w:ilvl="7" w:tplc="12604D54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en-US"/>
      </w:rPr>
    </w:lvl>
    <w:lvl w:ilvl="8" w:tplc="26B2F85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99342F7"/>
    <w:multiLevelType w:val="hybridMultilevel"/>
    <w:tmpl w:val="65C800BE"/>
    <w:lvl w:ilvl="0" w:tplc="D11EEA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CF4311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2" w:tplc="C60409E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 w:tplc="9FC855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plc="8CCE278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en-US"/>
      </w:rPr>
    </w:lvl>
    <w:lvl w:ilvl="5" w:tplc="B2E4685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en-US"/>
      </w:rPr>
    </w:lvl>
    <w:lvl w:ilvl="6" w:tplc="5976597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en-US"/>
      </w:rPr>
    </w:lvl>
    <w:lvl w:ilvl="7" w:tplc="14B6E31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en-US"/>
      </w:rPr>
    </w:lvl>
    <w:lvl w:ilvl="8" w:tplc="A3AA2BE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22E5DF7"/>
    <w:multiLevelType w:val="hybridMultilevel"/>
    <w:tmpl w:val="2FD2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C26D3"/>
    <w:multiLevelType w:val="hybridMultilevel"/>
    <w:tmpl w:val="4956CDB8"/>
    <w:lvl w:ilvl="0" w:tplc="AEA2FE4C">
      <w:numFmt w:val="bullet"/>
      <w:lvlText w:val=""/>
      <w:lvlJc w:val="left"/>
      <w:pPr>
        <w:ind w:left="820" w:hanging="425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5A86894">
      <w:numFmt w:val="bullet"/>
      <w:lvlText w:val="•"/>
      <w:lvlJc w:val="left"/>
      <w:pPr>
        <w:ind w:left="1658" w:hanging="425"/>
      </w:pPr>
      <w:rPr>
        <w:rFonts w:hint="default"/>
        <w:lang w:val="en-US" w:eastAsia="en-US" w:bidi="en-US"/>
      </w:rPr>
    </w:lvl>
    <w:lvl w:ilvl="2" w:tplc="8404047E">
      <w:numFmt w:val="bullet"/>
      <w:lvlText w:val="•"/>
      <w:lvlJc w:val="left"/>
      <w:pPr>
        <w:ind w:left="2497" w:hanging="425"/>
      </w:pPr>
      <w:rPr>
        <w:rFonts w:hint="default"/>
        <w:lang w:val="en-US" w:eastAsia="en-US" w:bidi="en-US"/>
      </w:rPr>
    </w:lvl>
    <w:lvl w:ilvl="3" w:tplc="CEC2627C">
      <w:numFmt w:val="bullet"/>
      <w:lvlText w:val="•"/>
      <w:lvlJc w:val="left"/>
      <w:pPr>
        <w:ind w:left="3335" w:hanging="425"/>
      </w:pPr>
      <w:rPr>
        <w:rFonts w:hint="default"/>
        <w:lang w:val="en-US" w:eastAsia="en-US" w:bidi="en-US"/>
      </w:rPr>
    </w:lvl>
    <w:lvl w:ilvl="4" w:tplc="9BF21ED6">
      <w:numFmt w:val="bullet"/>
      <w:lvlText w:val="•"/>
      <w:lvlJc w:val="left"/>
      <w:pPr>
        <w:ind w:left="4174" w:hanging="425"/>
      </w:pPr>
      <w:rPr>
        <w:rFonts w:hint="default"/>
        <w:lang w:val="en-US" w:eastAsia="en-US" w:bidi="en-US"/>
      </w:rPr>
    </w:lvl>
    <w:lvl w:ilvl="5" w:tplc="6B4CC904">
      <w:numFmt w:val="bullet"/>
      <w:lvlText w:val="•"/>
      <w:lvlJc w:val="left"/>
      <w:pPr>
        <w:ind w:left="5013" w:hanging="425"/>
      </w:pPr>
      <w:rPr>
        <w:rFonts w:hint="default"/>
        <w:lang w:val="en-US" w:eastAsia="en-US" w:bidi="en-US"/>
      </w:rPr>
    </w:lvl>
    <w:lvl w:ilvl="6" w:tplc="2B06F7A2">
      <w:numFmt w:val="bullet"/>
      <w:lvlText w:val="•"/>
      <w:lvlJc w:val="left"/>
      <w:pPr>
        <w:ind w:left="5851" w:hanging="425"/>
      </w:pPr>
      <w:rPr>
        <w:rFonts w:hint="default"/>
        <w:lang w:val="en-US" w:eastAsia="en-US" w:bidi="en-US"/>
      </w:rPr>
    </w:lvl>
    <w:lvl w:ilvl="7" w:tplc="B986BA06">
      <w:numFmt w:val="bullet"/>
      <w:lvlText w:val="•"/>
      <w:lvlJc w:val="left"/>
      <w:pPr>
        <w:ind w:left="6690" w:hanging="425"/>
      </w:pPr>
      <w:rPr>
        <w:rFonts w:hint="default"/>
        <w:lang w:val="en-US" w:eastAsia="en-US" w:bidi="en-US"/>
      </w:rPr>
    </w:lvl>
    <w:lvl w:ilvl="8" w:tplc="081680EA">
      <w:numFmt w:val="bullet"/>
      <w:lvlText w:val="•"/>
      <w:lvlJc w:val="left"/>
      <w:pPr>
        <w:ind w:left="7529" w:hanging="42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6B9"/>
    <w:rsid w:val="000C77B1"/>
    <w:rsid w:val="009036B9"/>
    <w:rsid w:val="00AB3239"/>
    <w:rsid w:val="00E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341429"/>
  <w15:docId w15:val="{B9B829F4-1A04-4845-B2E9-50CDADE7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2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D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2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DF4"/>
    <w:rPr>
      <w:rFonts w:ascii="Calibri" w:eastAsia="Calibri" w:hAnsi="Calibri" w:cs="Calibri"/>
      <w:lang w:bidi="en-US"/>
    </w:rPr>
  </w:style>
  <w:style w:type="paragraph" w:customStyle="1" w:styleId="font8">
    <w:name w:val="font_8"/>
    <w:basedOn w:val="Normal"/>
    <w:rsid w:val="000C77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Dutchuk</dc:creator>
  <cp:lastModifiedBy>Kent King</cp:lastModifiedBy>
  <cp:revision>2</cp:revision>
  <dcterms:created xsi:type="dcterms:W3CDTF">2018-07-18T01:38:00Z</dcterms:created>
  <dcterms:modified xsi:type="dcterms:W3CDTF">2018-07-18T01:58:00Z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2018-07-18T00:00:00Z</vt:filetime>
  </property>
</Properties>
</file>